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50AE0" w14:textId="6D33741E" w:rsidR="00AB5CAF" w:rsidRDefault="00AB5CAF" w:rsidP="00AB5CAF">
      <w:pPr>
        <w:tabs>
          <w:tab w:val="center" w:pos="4536"/>
          <w:tab w:val="right" w:pos="7938"/>
          <w:tab w:val="right" w:pos="9639"/>
        </w:tabs>
        <w:ind w:right="2"/>
        <w:rPr>
          <w:rFonts w:eastAsia="Batang" w:cs="Arial"/>
          <w:b/>
          <w:bCs/>
          <w:sz w:val="28"/>
          <w:szCs w:val="24"/>
          <w:lang w:val="en-GB"/>
        </w:rPr>
      </w:pPr>
      <w:r>
        <w:rPr>
          <w:rFonts w:cs="Arial"/>
          <w:b/>
          <w:bCs/>
          <w:sz w:val="28"/>
        </w:rPr>
        <w:t>3GPP TSG RAN WG1 #112</w:t>
      </w:r>
      <w:r>
        <w:rPr>
          <w:rFonts w:cs="Arial"/>
          <w:b/>
          <w:bCs/>
          <w:sz w:val="28"/>
        </w:rPr>
        <w:tab/>
      </w:r>
      <w:r>
        <w:rPr>
          <w:rFonts w:cs="Arial"/>
          <w:b/>
          <w:bCs/>
          <w:sz w:val="28"/>
        </w:rPr>
        <w:tab/>
      </w:r>
      <w:r>
        <w:rPr>
          <w:rFonts w:cs="Arial"/>
          <w:b/>
          <w:bCs/>
          <w:sz w:val="28"/>
        </w:rPr>
        <w:tab/>
      </w:r>
      <w:r w:rsidRPr="00B13580">
        <w:rPr>
          <w:rFonts w:cs="Arial"/>
          <w:b/>
          <w:bCs/>
          <w:sz w:val="28"/>
        </w:rPr>
        <w:t>R1-</w:t>
      </w:r>
      <w:r w:rsidR="00ED1E9B" w:rsidRPr="00ED1E9B">
        <w:t xml:space="preserve"> </w:t>
      </w:r>
      <w:r w:rsidR="00ED1E9B" w:rsidRPr="00ED1E9B">
        <w:rPr>
          <w:rFonts w:cs="Arial"/>
          <w:b/>
          <w:bCs/>
          <w:sz w:val="28"/>
        </w:rPr>
        <w:t>2301130</w:t>
      </w:r>
    </w:p>
    <w:p w14:paraId="347F183B" w14:textId="77777777" w:rsidR="00AB5CAF" w:rsidRDefault="00AB5CAF" w:rsidP="00AB5CAF">
      <w:pPr>
        <w:tabs>
          <w:tab w:val="center" w:pos="4536"/>
          <w:tab w:val="right" w:pos="9072"/>
        </w:tabs>
        <w:rPr>
          <w:rFonts w:eastAsia="MS Mincho" w:cs="Arial"/>
          <w:b/>
          <w:bCs/>
          <w:sz w:val="28"/>
          <w:lang w:eastAsia="ja-JP"/>
        </w:rPr>
      </w:pPr>
      <w:r>
        <w:rPr>
          <w:rFonts w:eastAsia="MS Mincho" w:cs="Arial"/>
          <w:b/>
          <w:bCs/>
          <w:sz w:val="28"/>
          <w:lang w:eastAsia="ja-JP"/>
        </w:rPr>
        <w:t>Athens, Greece, February 27</w:t>
      </w:r>
      <w:r>
        <w:rPr>
          <w:rFonts w:eastAsia="MS Mincho" w:cs="Arial"/>
          <w:b/>
          <w:bCs/>
          <w:sz w:val="28"/>
          <w:vertAlign w:val="superscript"/>
          <w:lang w:eastAsia="ja-JP"/>
        </w:rPr>
        <w:t>th</w:t>
      </w:r>
      <w:r>
        <w:rPr>
          <w:rFonts w:eastAsia="MS Mincho" w:cs="Arial"/>
          <w:b/>
          <w:bCs/>
          <w:sz w:val="28"/>
          <w:lang w:eastAsia="ja-JP"/>
        </w:rPr>
        <w:t xml:space="preserve"> – March 3</w:t>
      </w:r>
      <w:r>
        <w:rPr>
          <w:rFonts w:eastAsia="MS Mincho" w:cs="Arial"/>
          <w:b/>
          <w:bCs/>
          <w:sz w:val="28"/>
          <w:vertAlign w:val="superscript"/>
          <w:lang w:eastAsia="ja-JP"/>
        </w:rPr>
        <w:t>rd</w:t>
      </w:r>
      <w:r>
        <w:rPr>
          <w:rFonts w:eastAsia="MS Mincho" w:cs="Arial"/>
          <w:b/>
          <w:bCs/>
          <w:sz w:val="28"/>
          <w:lang w:eastAsia="ja-JP"/>
        </w:rPr>
        <w:t>, 2023</w:t>
      </w:r>
    </w:p>
    <w:p w14:paraId="3086AC07" w14:textId="77777777" w:rsidR="00E90E49" w:rsidRPr="00E66E71" w:rsidRDefault="00E90E49" w:rsidP="00357380">
      <w:pPr>
        <w:pStyle w:val="3GPPHeader"/>
        <w:rPr>
          <w:highlight w:val="yellow"/>
        </w:rPr>
      </w:pPr>
    </w:p>
    <w:p w14:paraId="3982483C" w14:textId="505D8FC8" w:rsidR="00E90E49" w:rsidRPr="005150A3" w:rsidRDefault="00E90E49" w:rsidP="00311702">
      <w:pPr>
        <w:pStyle w:val="3GPPHeader"/>
        <w:rPr>
          <w:sz w:val="22"/>
        </w:rPr>
      </w:pPr>
      <w:r w:rsidRPr="005150A3">
        <w:rPr>
          <w:sz w:val="22"/>
        </w:rPr>
        <w:t>Agenda Item:</w:t>
      </w:r>
      <w:r w:rsidRPr="005150A3">
        <w:rPr>
          <w:sz w:val="22"/>
        </w:rPr>
        <w:tab/>
      </w:r>
      <w:r w:rsidR="00EC4BD9" w:rsidRPr="005150A3">
        <w:rPr>
          <w:sz w:val="22"/>
        </w:rPr>
        <w:t>9.4.1.</w:t>
      </w:r>
      <w:r w:rsidR="0020014F" w:rsidRPr="005150A3">
        <w:rPr>
          <w:sz w:val="22"/>
        </w:rPr>
        <w:t>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75164C7D" w:rsidR="00E90E49" w:rsidRPr="00CE0424" w:rsidRDefault="003D3C45" w:rsidP="00311702">
      <w:pPr>
        <w:pStyle w:val="3GPPHeader"/>
        <w:rPr>
          <w:sz w:val="22"/>
        </w:rPr>
      </w:pPr>
      <w:r>
        <w:rPr>
          <w:sz w:val="22"/>
        </w:rPr>
        <w:t>Title:</w:t>
      </w:r>
      <w:r w:rsidR="00E90E49" w:rsidRPr="00CE0424">
        <w:rPr>
          <w:sz w:val="22"/>
        </w:rPr>
        <w:tab/>
      </w:r>
      <w:r w:rsidR="008F1E93">
        <w:rPr>
          <w:sz w:val="22"/>
        </w:rPr>
        <w:t>Channel access mechanism</w:t>
      </w:r>
      <w:r w:rsidR="00EC4BD9">
        <w:rPr>
          <w:sz w:val="22"/>
        </w:rPr>
        <w:t xml:space="preserve"> for SL-U</w:t>
      </w:r>
    </w:p>
    <w:p w14:paraId="2D5672ED" w14:textId="2D5C993C" w:rsidR="00E90E49" w:rsidRPr="00CE0424" w:rsidRDefault="00E90E49" w:rsidP="006E4E14">
      <w:pPr>
        <w:pStyle w:val="3GPPHeader"/>
      </w:pPr>
      <w:r w:rsidRPr="00CE0424">
        <w:rPr>
          <w:sz w:val="22"/>
        </w:rPr>
        <w:t>Document for:</w:t>
      </w:r>
      <w:r w:rsidRPr="00CE0424">
        <w:rPr>
          <w:sz w:val="22"/>
        </w:rPr>
        <w:tab/>
      </w:r>
      <w:r w:rsidRPr="00EC4BD9">
        <w:rPr>
          <w:sz w:val="22"/>
        </w:rPr>
        <w:t>Discussion, Decision</w:t>
      </w:r>
    </w:p>
    <w:p w14:paraId="6883CB62" w14:textId="77777777" w:rsidR="00E90E49" w:rsidRPr="00CE0424" w:rsidRDefault="00230D18" w:rsidP="00CE0424">
      <w:pPr>
        <w:pStyle w:val="Heading1"/>
      </w:pPr>
      <w:r>
        <w:t>1</w:t>
      </w:r>
      <w:r>
        <w:tab/>
      </w:r>
      <w:r w:rsidR="00E90E49" w:rsidRPr="00CE0424">
        <w:t>Introduction</w:t>
      </w:r>
    </w:p>
    <w:p w14:paraId="6602EE9A" w14:textId="77777777" w:rsidR="005E7DAB" w:rsidRDefault="005E7DAB" w:rsidP="005E7DAB">
      <w:pPr>
        <w:pStyle w:val="BodyText"/>
      </w:pPr>
      <w:r>
        <w:t xml:space="preserve">In the last RAN#98e, the new WID on NR sidelink evolution was updated to further specified the already studied aspects </w:t>
      </w:r>
      <w:r w:rsidRPr="00CF6500">
        <w:t>[</w:t>
      </w:r>
      <w:r w:rsidRPr="00D5241E">
        <w:t>1</w:t>
      </w:r>
      <w:r w:rsidRPr="00CF6500">
        <w:t>]</w:t>
      </w:r>
      <w:r>
        <w:t>. Objective#2 of the agreed WID aims to specify the operation of sidelink on unlicensed spectrum. The details of the objective as agreed are stated below.</w:t>
      </w:r>
    </w:p>
    <w:tbl>
      <w:tblPr>
        <w:tblStyle w:val="TableGrid"/>
        <w:tblW w:w="0" w:type="auto"/>
        <w:tblLook w:val="04A0" w:firstRow="1" w:lastRow="0" w:firstColumn="1" w:lastColumn="0" w:noHBand="0" w:noVBand="1"/>
      </w:tblPr>
      <w:tblGrid>
        <w:gridCol w:w="9629"/>
      </w:tblGrid>
      <w:tr w:rsidR="00990103" w14:paraId="05208964" w14:textId="77777777" w:rsidTr="00990103">
        <w:tc>
          <w:tcPr>
            <w:tcW w:w="9629" w:type="dxa"/>
          </w:tcPr>
          <w:p w14:paraId="34D32A2F" w14:textId="4D89C2A0" w:rsidR="00990103" w:rsidRPr="00990103" w:rsidRDefault="00990103" w:rsidP="00F50D32">
            <w:pPr>
              <w:pStyle w:val="ListParagraph"/>
              <w:numPr>
                <w:ilvl w:val="0"/>
                <w:numId w:val="14"/>
              </w:numPr>
              <w:overflowPunct w:val="0"/>
              <w:autoSpaceDE w:val="0"/>
              <w:autoSpaceDN w:val="0"/>
              <w:adjustRightInd w:val="0"/>
              <w:spacing w:before="120" w:line="240" w:lineRule="auto"/>
              <w:ind w:left="357" w:hanging="357"/>
              <w:textAlignment w:val="baseline"/>
              <w:rPr>
                <w:rFonts w:ascii="Times" w:eastAsia="Batang" w:hAnsi="Times" w:cs="Times"/>
                <w:szCs w:val="20"/>
                <w:lang w:val="en-GB" w:eastAsia="en-GB"/>
              </w:rPr>
            </w:pPr>
            <w:r w:rsidRPr="00990103">
              <w:rPr>
                <w:rFonts w:ascii="Times" w:eastAsia="Batang" w:hAnsi="Times" w:cs="Times"/>
                <w:szCs w:val="20"/>
                <w:lang w:val="en-GB" w:eastAsia="en-GB"/>
              </w:rPr>
              <w:t>Specify support of sidelink on unlicensed spectrum for both mode 1 and mode 2 where Uu operation for mode 1 is limited to licensed spectrum only [RAN1, RAN2, RAN4]</w:t>
            </w:r>
          </w:p>
          <w:p w14:paraId="240611C9" w14:textId="77777777" w:rsidR="00990103" w:rsidRPr="00990103" w:rsidRDefault="00990103" w:rsidP="00F50D32">
            <w:pPr>
              <w:numPr>
                <w:ilvl w:val="0"/>
                <w:numId w:val="13"/>
              </w:numPr>
              <w:overflowPunct w:val="0"/>
              <w:autoSpaceDE w:val="0"/>
              <w:autoSpaceDN w:val="0"/>
              <w:adjustRightInd w:val="0"/>
              <w:spacing w:before="60" w:after="60" w:line="240" w:lineRule="auto"/>
              <w:ind w:left="993" w:hanging="284"/>
              <w:textAlignment w:val="baseline"/>
              <w:rPr>
                <w:rFonts w:ascii="Times" w:eastAsia="Batang" w:hAnsi="Times" w:cs="Times"/>
                <w:szCs w:val="20"/>
                <w:lang w:val="en-GB" w:eastAsia="ko-KR"/>
              </w:rPr>
            </w:pPr>
            <w:r w:rsidRPr="00990103">
              <w:rPr>
                <w:rFonts w:ascii="Times" w:eastAsia="Batang" w:hAnsi="Times" w:cs="Times"/>
                <w:szCs w:val="20"/>
                <w:lang w:val="en-GB" w:eastAsia="ko-KR"/>
              </w:rPr>
              <w:t>Channel access mechanisms from NR-U shall be reused for sidelink unlicensed operation</w:t>
            </w:r>
          </w:p>
          <w:p w14:paraId="17E51527" w14:textId="77777777" w:rsidR="00990103" w:rsidRPr="00990103" w:rsidRDefault="00990103" w:rsidP="00F50D32">
            <w:pPr>
              <w:numPr>
                <w:ilvl w:val="1"/>
                <w:numId w:val="13"/>
              </w:numPr>
              <w:overflowPunct w:val="0"/>
              <w:autoSpaceDE w:val="0"/>
              <w:autoSpaceDN w:val="0"/>
              <w:adjustRightInd w:val="0"/>
              <w:spacing w:before="60" w:after="60" w:line="240" w:lineRule="auto"/>
              <w:ind w:left="1418" w:hanging="284"/>
              <w:textAlignment w:val="baseline"/>
              <w:rPr>
                <w:rFonts w:ascii="Times" w:eastAsia="Batang" w:hAnsi="Times" w:cs="Times"/>
                <w:szCs w:val="20"/>
                <w:lang w:val="en-GB" w:eastAsia="ko-KR"/>
              </w:rPr>
            </w:pPr>
            <w:bookmarkStart w:id="0" w:name="_Hlk89917081"/>
            <w:r w:rsidRPr="00990103">
              <w:rPr>
                <w:rFonts w:ascii="Times" w:eastAsia="Batang" w:hAnsi="Times" w:cs="Times"/>
                <w:szCs w:val="20"/>
                <w:lang w:val="en-GB" w:eastAsia="ko-KR"/>
              </w:rPr>
              <w:t>Assess the applicability of sidelink resource reservation from Rel-16/Rel-17 to sidelink unlicensed operation within the boundaries of unlicensed channel access mechanism and operation</w:t>
            </w:r>
          </w:p>
          <w:p w14:paraId="4A69376F" w14:textId="77777777" w:rsidR="00990103" w:rsidRPr="00990103" w:rsidRDefault="00990103" w:rsidP="00F50D32">
            <w:pPr>
              <w:numPr>
                <w:ilvl w:val="2"/>
                <w:numId w:val="13"/>
              </w:numPr>
              <w:overflowPunct w:val="0"/>
              <w:autoSpaceDE w:val="0"/>
              <w:autoSpaceDN w:val="0"/>
              <w:adjustRightInd w:val="0"/>
              <w:spacing w:before="60" w:after="60" w:line="240" w:lineRule="auto"/>
              <w:textAlignment w:val="baseline"/>
              <w:rPr>
                <w:rFonts w:ascii="Times" w:eastAsia="Batang" w:hAnsi="Times" w:cs="Times"/>
                <w:szCs w:val="20"/>
                <w:lang w:val="en-GB" w:eastAsia="ko-KR"/>
              </w:rPr>
            </w:pPr>
            <w:r w:rsidRPr="00990103">
              <w:rPr>
                <w:rFonts w:ascii="Times" w:eastAsia="Batang" w:hAnsi="Times" w:cs="Times"/>
                <w:szCs w:val="20"/>
                <w:lang w:val="en-GB" w:eastAsia="ko-KR"/>
              </w:rPr>
              <w:t>No specific enhancements for Rel-17 resource allocation mechanisms</w:t>
            </w:r>
            <w:bookmarkEnd w:id="0"/>
          </w:p>
          <w:p w14:paraId="418074FE" w14:textId="77777777" w:rsidR="00990103" w:rsidRPr="00990103" w:rsidRDefault="00990103" w:rsidP="00F50D32">
            <w:pPr>
              <w:numPr>
                <w:ilvl w:val="2"/>
                <w:numId w:val="13"/>
              </w:numPr>
              <w:overflowPunct w:val="0"/>
              <w:autoSpaceDE w:val="0"/>
              <w:autoSpaceDN w:val="0"/>
              <w:adjustRightInd w:val="0"/>
              <w:spacing w:before="60" w:after="60" w:line="240" w:lineRule="auto"/>
              <w:textAlignment w:val="baseline"/>
              <w:rPr>
                <w:rFonts w:ascii="Times" w:eastAsia="Batang" w:hAnsi="Times" w:cs="Times"/>
                <w:szCs w:val="20"/>
                <w:lang w:val="en-GB" w:eastAsia="ko-KR"/>
              </w:rPr>
            </w:pPr>
            <w:r w:rsidRPr="00990103">
              <w:rPr>
                <w:rFonts w:ascii="Times" w:eastAsia="Batang" w:hAnsi="Times" w:cs="Times"/>
                <w:szCs w:val="20"/>
                <w:lang w:val="en-GB" w:eastAsia="ko-KR"/>
              </w:rPr>
              <w:t>If the existing NR-U channel access framework does not support the required SL-U functionality, WGs will make appropriate recommendations for RAN approval.</w:t>
            </w:r>
          </w:p>
          <w:p w14:paraId="7814FBAD" w14:textId="77777777" w:rsidR="00990103" w:rsidRPr="00990103" w:rsidRDefault="00990103" w:rsidP="00F50D32">
            <w:pPr>
              <w:numPr>
                <w:ilvl w:val="0"/>
                <w:numId w:val="13"/>
              </w:numPr>
              <w:overflowPunct w:val="0"/>
              <w:autoSpaceDE w:val="0"/>
              <w:autoSpaceDN w:val="0"/>
              <w:adjustRightInd w:val="0"/>
              <w:spacing w:before="60" w:after="60" w:line="240" w:lineRule="auto"/>
              <w:ind w:left="993" w:hanging="284"/>
              <w:textAlignment w:val="baseline"/>
              <w:rPr>
                <w:rFonts w:ascii="Times" w:eastAsia="Batang" w:hAnsi="Times" w:cs="Times"/>
                <w:szCs w:val="20"/>
                <w:lang w:val="en-GB" w:eastAsia="ko-KR"/>
              </w:rPr>
            </w:pPr>
            <w:bookmarkStart w:id="1" w:name="_Hlk89917101"/>
            <w:r w:rsidRPr="00990103">
              <w:rPr>
                <w:rFonts w:ascii="Times" w:eastAsia="Batang" w:hAnsi="Times" w:cs="Times"/>
                <w:szCs w:val="20"/>
                <w:lang w:val="en-GB" w:eastAsia="ko-KR"/>
              </w:rPr>
              <w:t>Physical channel design framework: Required changes to NR sidelink physical channel structures and procedures to operate on unlicensed spectrum</w:t>
            </w:r>
            <w:bookmarkEnd w:id="1"/>
          </w:p>
          <w:p w14:paraId="58082005" w14:textId="77777777" w:rsidR="00990103" w:rsidRPr="00990103" w:rsidRDefault="00990103" w:rsidP="00F50D32">
            <w:pPr>
              <w:numPr>
                <w:ilvl w:val="1"/>
                <w:numId w:val="13"/>
              </w:numPr>
              <w:overflowPunct w:val="0"/>
              <w:autoSpaceDE w:val="0"/>
              <w:autoSpaceDN w:val="0"/>
              <w:adjustRightInd w:val="0"/>
              <w:spacing w:before="60" w:after="60" w:line="240" w:lineRule="auto"/>
              <w:ind w:left="1418" w:hanging="284"/>
              <w:textAlignment w:val="baseline"/>
              <w:rPr>
                <w:rFonts w:ascii="Times" w:eastAsia="Batang" w:hAnsi="Times" w:cs="Times"/>
                <w:szCs w:val="20"/>
                <w:lang w:val="en-GB" w:eastAsia="ko-KR"/>
              </w:rPr>
            </w:pPr>
            <w:bookmarkStart w:id="2" w:name="_Hlk89917118"/>
            <w:r w:rsidRPr="00990103">
              <w:rPr>
                <w:rFonts w:ascii="Times" w:eastAsia="Batang" w:hAnsi="Times" w:cs="Times"/>
                <w:szCs w:val="20"/>
                <w:lang w:val="en-GB" w:eastAsia="ko-KR"/>
              </w:rPr>
              <w:t xml:space="preserve">The existing NR sidelink and NR-U channel structure shall be reused </w:t>
            </w:r>
            <w:bookmarkEnd w:id="2"/>
            <w:r w:rsidRPr="00990103">
              <w:rPr>
                <w:rFonts w:ascii="Times" w:eastAsia="Batang" w:hAnsi="Times" w:cs="Times"/>
                <w:szCs w:val="20"/>
                <w:lang w:val="en-GB" w:eastAsia="ko-KR"/>
              </w:rPr>
              <w:t>as the baseline.</w:t>
            </w:r>
          </w:p>
          <w:p w14:paraId="4AC1498A" w14:textId="77777777" w:rsidR="00990103" w:rsidRPr="00990103" w:rsidRDefault="00990103" w:rsidP="00F50D32">
            <w:pPr>
              <w:numPr>
                <w:ilvl w:val="0"/>
                <w:numId w:val="13"/>
              </w:numPr>
              <w:overflowPunct w:val="0"/>
              <w:autoSpaceDE w:val="0"/>
              <w:autoSpaceDN w:val="0"/>
              <w:adjustRightInd w:val="0"/>
              <w:spacing w:before="60" w:after="60" w:line="240" w:lineRule="auto"/>
              <w:ind w:left="993" w:hanging="284"/>
              <w:textAlignment w:val="baseline"/>
              <w:rPr>
                <w:rFonts w:ascii="Times" w:eastAsia="Batang" w:hAnsi="Times" w:cs="Times"/>
                <w:szCs w:val="20"/>
                <w:lang w:val="en-GB" w:eastAsia="ko-KR"/>
              </w:rPr>
            </w:pPr>
            <w:bookmarkStart w:id="3" w:name="_Hlk89917140"/>
            <w:r w:rsidRPr="00990103">
              <w:rPr>
                <w:rFonts w:ascii="Times" w:eastAsia="Batang" w:hAnsi="Times" w:cs="Times"/>
                <w:szCs w:val="20"/>
                <w:lang w:val="en-GB" w:eastAsia="ko-KR"/>
              </w:rPr>
              <w:t>No specific enhancements for existing NR SL feature</w:t>
            </w:r>
            <w:bookmarkEnd w:id="3"/>
          </w:p>
          <w:p w14:paraId="44C643B6" w14:textId="7034754E" w:rsidR="00990103" w:rsidRPr="00194E14" w:rsidRDefault="00990103" w:rsidP="00CE0424">
            <w:pPr>
              <w:numPr>
                <w:ilvl w:val="0"/>
                <w:numId w:val="13"/>
              </w:numPr>
              <w:overflowPunct w:val="0"/>
              <w:autoSpaceDE w:val="0"/>
              <w:autoSpaceDN w:val="0"/>
              <w:adjustRightInd w:val="0"/>
              <w:spacing w:before="60" w:after="60" w:line="240" w:lineRule="auto"/>
              <w:ind w:left="993" w:hanging="284"/>
              <w:textAlignment w:val="baseline"/>
              <w:rPr>
                <w:rFonts w:ascii="Times" w:eastAsia="Batang" w:hAnsi="Times" w:cs="Times"/>
                <w:szCs w:val="20"/>
                <w:lang w:val="en-GB" w:eastAsia="ko-KR"/>
              </w:rPr>
            </w:pPr>
            <w:r w:rsidRPr="00990103">
              <w:rPr>
                <w:rFonts w:ascii="Times" w:eastAsia="Batang" w:hAnsi="Times" w:cs="Times"/>
                <w:szCs w:val="20"/>
                <w:lang w:val="en-GB" w:eastAsia="ko-KR"/>
              </w:rPr>
              <w:t>The study should focus on FR1 unlicensed bands (n46 and n96/n102) and is to be completed by RAN#98</w:t>
            </w:r>
            <w:bookmarkStart w:id="4" w:name="_Hlk89917215"/>
            <w:r w:rsidRPr="00990103">
              <w:rPr>
                <w:rFonts w:ascii="Times" w:eastAsia="Batang" w:hAnsi="Times" w:cs="Times"/>
                <w:szCs w:val="20"/>
                <w:lang w:val="en-GB" w:eastAsia="ko-KR"/>
              </w:rPr>
              <w:t>.</w:t>
            </w:r>
            <w:bookmarkEnd w:id="4"/>
          </w:p>
        </w:tc>
      </w:tr>
    </w:tbl>
    <w:p w14:paraId="4E3F6E9B" w14:textId="1EC7124E" w:rsidR="002A03FB" w:rsidRPr="00CE0424" w:rsidRDefault="00952926" w:rsidP="00B600F5">
      <w:pPr>
        <w:pStyle w:val="BodyText"/>
        <w:spacing w:before="240"/>
      </w:pPr>
      <w:r>
        <w:t xml:space="preserve">In this paper, we discuss the </w:t>
      </w:r>
      <w:r w:rsidR="008F1E93">
        <w:t xml:space="preserve">channel access mechanism for SL-U and </w:t>
      </w:r>
      <w:r w:rsidR="00430D29">
        <w:t xml:space="preserve">explain our </w:t>
      </w:r>
      <w:r w:rsidR="00871D0C">
        <w:t xml:space="preserve">views </w:t>
      </w:r>
      <w:r w:rsidR="00430D29">
        <w:t xml:space="preserve">on the use of existing SL functionalities together with the NR-U channel access mechanisms. </w:t>
      </w:r>
      <w:r w:rsidR="00E5143D">
        <w:t>We also discuss</w:t>
      </w:r>
      <w:r w:rsidR="00FE1198" w:rsidDel="00E7665E">
        <w:t xml:space="preserve"> </w:t>
      </w:r>
      <w:r w:rsidR="00E7665E">
        <w:t xml:space="preserve">some aspects on the </w:t>
      </w:r>
      <w:r w:rsidR="00FE1198">
        <w:t>evaluation methodology to be used for SL-U.</w:t>
      </w:r>
    </w:p>
    <w:p w14:paraId="02F21CC4" w14:textId="76558D5D" w:rsidR="0078344D" w:rsidRDefault="00313AAD" w:rsidP="003901B5">
      <w:pPr>
        <w:pStyle w:val="Heading1"/>
        <w:ind w:left="0" w:firstLine="0"/>
      </w:pPr>
      <w:r>
        <w:t>2</w:t>
      </w:r>
      <w:r>
        <w:tab/>
      </w:r>
      <w:r w:rsidR="00230D18">
        <w:tab/>
      </w:r>
      <w:r w:rsidR="00B440F5">
        <w:t>Channel</w:t>
      </w:r>
      <w:r w:rsidR="00430D29">
        <w:t xml:space="preserve"> access </w:t>
      </w:r>
    </w:p>
    <w:p w14:paraId="431159F2" w14:textId="3C8FCDF1" w:rsidR="00F15EC6" w:rsidRDefault="00F15EC6" w:rsidP="00F15EC6">
      <w:pPr>
        <w:rPr>
          <w:lang w:eastAsia="ja-JP"/>
        </w:rPr>
      </w:pPr>
      <w:r>
        <w:rPr>
          <w:lang w:eastAsia="ja-JP"/>
        </w:rPr>
        <w:t xml:space="preserve">The following agreements on channel access </w:t>
      </w:r>
      <w:r w:rsidR="00E7665E">
        <w:rPr>
          <w:lang w:eastAsia="ja-JP"/>
        </w:rPr>
        <w:t xml:space="preserve">procedures </w:t>
      </w:r>
      <w:r>
        <w:rPr>
          <w:lang w:eastAsia="ja-JP"/>
        </w:rPr>
        <w:t>were made in earlier meetings</w:t>
      </w:r>
      <w:r w:rsidR="00E7665E">
        <w:rPr>
          <w:lang w:eastAsia="ja-JP"/>
        </w:rPr>
        <w:t>:</w:t>
      </w:r>
    </w:p>
    <w:tbl>
      <w:tblPr>
        <w:tblStyle w:val="TableGrid"/>
        <w:tblW w:w="0" w:type="auto"/>
        <w:tblLook w:val="04A0" w:firstRow="1" w:lastRow="0" w:firstColumn="1" w:lastColumn="0" w:noHBand="0" w:noVBand="1"/>
      </w:tblPr>
      <w:tblGrid>
        <w:gridCol w:w="9629"/>
      </w:tblGrid>
      <w:tr w:rsidR="00B56DC0" w14:paraId="36892E51" w14:textId="77777777" w:rsidTr="00F15EC6">
        <w:tc>
          <w:tcPr>
            <w:tcW w:w="9629" w:type="dxa"/>
          </w:tcPr>
          <w:p w14:paraId="3CC37BBD" w14:textId="77777777" w:rsidR="00D03D7B" w:rsidRPr="006E4E14" w:rsidRDefault="00D03D7B" w:rsidP="00D03D7B">
            <w:pPr>
              <w:autoSpaceDE w:val="0"/>
              <w:autoSpaceDN w:val="0"/>
              <w:spacing w:before="240"/>
              <w:jc w:val="both"/>
              <w:rPr>
                <w:rFonts w:ascii="Times New Roman" w:eastAsia="Batang" w:hAnsi="Times New Roman" w:cs="Times New Roman"/>
                <w:b/>
                <w:sz w:val="20"/>
                <w:szCs w:val="20"/>
                <w:lang w:val="en-GB"/>
              </w:rPr>
            </w:pPr>
            <w:r w:rsidRPr="006E4E14">
              <w:rPr>
                <w:rFonts w:ascii="Times New Roman" w:eastAsia="Batang" w:hAnsi="Times New Roman" w:cs="Times New Roman"/>
                <w:b/>
                <w:szCs w:val="20"/>
                <w:highlight w:val="green"/>
                <w:lang w:val="en-GB"/>
              </w:rPr>
              <w:t>Agreement</w:t>
            </w:r>
          </w:p>
          <w:p w14:paraId="326ED4C2" w14:textId="77777777" w:rsidR="00D03D7B" w:rsidRPr="006E4E14" w:rsidRDefault="00D03D7B" w:rsidP="00D03D7B">
            <w:pPr>
              <w:autoSpaceDE w:val="0"/>
              <w:autoSpaceDN w:val="0"/>
              <w:jc w:val="both"/>
              <w:rPr>
                <w:rFonts w:ascii="Times New Roman" w:eastAsia="Batang" w:hAnsi="Times New Roman" w:cs="Times New Roman"/>
                <w:sz w:val="20"/>
                <w:szCs w:val="20"/>
                <w:lang w:val="en-GB"/>
              </w:rPr>
            </w:pPr>
            <w:r w:rsidRPr="006E4E14">
              <w:rPr>
                <w:rFonts w:ascii="Times New Roman" w:eastAsia="Batang" w:hAnsi="Times New Roman" w:cs="Times New Roman"/>
                <w:szCs w:val="20"/>
                <w:lang w:val="en-GB"/>
              </w:rPr>
              <w:lastRenderedPageBreak/>
              <w:t xml:space="preserve">Type 1 and Type 2 (2A/2B/2C) channel access </w:t>
            </w:r>
            <w:r w:rsidRPr="006E4E14">
              <w:rPr>
                <w:rFonts w:ascii="Times New Roman" w:eastAsia="Batang" w:hAnsi="Times New Roman" w:cs="Times New Roman"/>
                <w:color w:val="000000"/>
                <w:szCs w:val="20"/>
                <w:lang w:val="en-GB"/>
              </w:rPr>
              <w:t>procedures</w:t>
            </w:r>
            <w:r w:rsidRPr="006E4E14">
              <w:rPr>
                <w:rFonts w:ascii="Times New Roman" w:eastAsia="Batang" w:hAnsi="Times New Roman" w:cs="Times New Roman"/>
                <w:szCs w:val="20"/>
                <w:lang w:val="en-GB"/>
              </w:rPr>
              <w:t>, transmission gap and LBT sensing idle time requirements specified in TS37.213 for NR-U are taken as baseline for NR sidelink operation in a shared channel.</w:t>
            </w:r>
          </w:p>
          <w:p w14:paraId="60E4DACF" w14:textId="77777777" w:rsidR="00D03D7B" w:rsidRPr="006E4E14" w:rsidRDefault="00D03D7B" w:rsidP="00D03D7B">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conditions for the actual channel access type(s) used for each SL channel and signal transmitted, and based on COT sharing conditions (if supported)</w:t>
            </w:r>
          </w:p>
          <w:p w14:paraId="46AB2A37" w14:textId="77777777" w:rsidR="00D03D7B" w:rsidRPr="006E4E14" w:rsidRDefault="00D03D7B" w:rsidP="00D03D7B">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 xml:space="preserve">FFS whether UL CAPC or DL CAPC or both should be used as the baseline, </w:t>
            </w:r>
          </w:p>
          <w:p w14:paraId="2F7F52DA" w14:textId="77777777" w:rsidR="00D03D7B" w:rsidRPr="006E4E14" w:rsidRDefault="00D03D7B" w:rsidP="00D03D7B">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how the channel access priority classes apply to each SL channel and signal</w:t>
            </w:r>
          </w:p>
          <w:p w14:paraId="429A4AFD" w14:textId="77777777" w:rsidR="00D03D7B" w:rsidRPr="006E4E14" w:rsidRDefault="00D03D7B" w:rsidP="00D03D7B">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sidelink priority levels (PQI or L1 priority), channel and signal mapping to the 4 channel access priority classes. The discussion may involve other WGs.</w:t>
            </w:r>
          </w:p>
          <w:p w14:paraId="66CF60DA" w14:textId="77777777" w:rsidR="00D03D7B" w:rsidRPr="006E4E14" w:rsidRDefault="00D03D7B" w:rsidP="00F15EC6">
            <w:pPr>
              <w:autoSpaceDE w:val="0"/>
              <w:autoSpaceDN w:val="0"/>
              <w:spacing w:after="0" w:line="240" w:lineRule="auto"/>
              <w:jc w:val="both"/>
              <w:rPr>
                <w:rFonts w:ascii="Times New Roman" w:eastAsia="SimSun" w:hAnsi="Times New Roman" w:cs="Times New Roman"/>
                <w:b/>
                <w:sz w:val="20"/>
                <w:szCs w:val="20"/>
                <w:highlight w:val="green"/>
                <w:lang w:eastAsia="zh-CN"/>
              </w:rPr>
            </w:pPr>
          </w:p>
          <w:p w14:paraId="2F15E253" w14:textId="29DB8D7B" w:rsidR="00F15EC6" w:rsidRPr="006E4E14" w:rsidRDefault="00F15EC6" w:rsidP="00F15EC6">
            <w:pPr>
              <w:autoSpaceDE w:val="0"/>
              <w:autoSpaceDN w:val="0"/>
              <w:spacing w:after="0" w:line="240" w:lineRule="auto"/>
              <w:jc w:val="both"/>
              <w:rPr>
                <w:rFonts w:ascii="Times New Roman" w:eastAsia="SimSun" w:hAnsi="Times New Roman" w:cs="Times New Roman"/>
                <w:b/>
                <w:sz w:val="20"/>
                <w:szCs w:val="20"/>
                <w:highlight w:val="green"/>
                <w:lang w:eastAsia="zh-CN"/>
              </w:rPr>
            </w:pPr>
            <w:r w:rsidRPr="0043094C">
              <w:rPr>
                <w:rFonts w:ascii="Times New Roman" w:eastAsia="SimSun" w:hAnsi="Times New Roman" w:cs="Times New Roman"/>
                <w:b/>
                <w:bCs/>
                <w:szCs w:val="20"/>
                <w:highlight w:val="green"/>
                <w:lang w:eastAsia="zh-CN"/>
              </w:rPr>
              <w:t>Agreement</w:t>
            </w:r>
          </w:p>
          <w:p w14:paraId="75985B5F" w14:textId="77777777" w:rsidR="00F15EC6" w:rsidRPr="006E4E14" w:rsidRDefault="00F15EC6" w:rsidP="00F15EC6">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Type 2A/2B/2C SL channel access procedures</w:t>
            </w:r>
          </w:p>
          <w:p w14:paraId="70F647D1" w14:textId="77777777" w:rsidR="00F15EC6" w:rsidRPr="006E4E14" w:rsidRDefault="00F15EC6" w:rsidP="00F15EC6">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Type 2A channel access procedure is applicable to the following case:</w:t>
            </w:r>
          </w:p>
          <w:p w14:paraId="332E03F4"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 xml:space="preserve">Transmission(s) by a UE following transmission(s) by another UE for a gap </w:t>
            </w:r>
            <w:r w:rsidRPr="006E4E14">
              <w:rPr>
                <w:rFonts w:ascii="Times New Roman" w:eastAsia="Batang" w:hAnsi="Times New Roman" w:cs="Times New Roman" w:hint="eastAsia"/>
                <w:szCs w:val="20"/>
                <w:lang w:val="en-GB" w:eastAsia="x-none"/>
              </w:rPr>
              <w:t>≥</w:t>
            </w:r>
            <w:r w:rsidRPr="006E4E14">
              <w:rPr>
                <w:rFonts w:ascii="Times New Roman" w:eastAsia="Batang" w:hAnsi="Times New Roman" w:cs="Times New Roman"/>
                <w:szCs w:val="20"/>
                <w:lang w:val="en-GB" w:eastAsia="x-none"/>
              </w:rPr>
              <w:t xml:space="preserve"> 25μs in a shared channel occupancy</w:t>
            </w:r>
          </w:p>
          <w:p w14:paraId="075A7831"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any other transmission by a UE (e.g., other than COT sharing)</w:t>
            </w:r>
          </w:p>
          <w:p w14:paraId="34C1AD65"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whether Type 2A is used also for the case of short control signalling transmission</w:t>
            </w:r>
          </w:p>
          <w:p w14:paraId="0525BB02" w14:textId="77777777" w:rsidR="00F15EC6" w:rsidRPr="006E4E14" w:rsidRDefault="00F15EC6" w:rsidP="00F15EC6">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Type 2B channel access procedure is applicable to the following case:</w:t>
            </w:r>
          </w:p>
          <w:p w14:paraId="138401DD"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Transmission(s) by a UE following transmission(s) by another UE at least when the gap is 16μs in a shared channel occupancy</w:t>
            </w:r>
          </w:p>
          <w:p w14:paraId="4A482F5C"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the case when the gap is between 16 and 25us</w:t>
            </w:r>
          </w:p>
          <w:p w14:paraId="4E4DBF7A"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any other transmission by a UE (e.g., other than COT sharing)</w:t>
            </w:r>
          </w:p>
          <w:p w14:paraId="17B78A1B" w14:textId="77777777" w:rsidR="00F15EC6" w:rsidRPr="006E4E14" w:rsidRDefault="00F15EC6" w:rsidP="00F15EC6">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Type 2C channel access procedure is applicable to the following case:</w:t>
            </w:r>
          </w:p>
          <w:p w14:paraId="7739FF07"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 xml:space="preserve">Transmission(s) by a UE following transmission(s) by another UE for a gap </w:t>
            </w:r>
            <w:r w:rsidRPr="006E4E14">
              <w:rPr>
                <w:rFonts w:ascii="Times New Roman" w:eastAsia="Batang" w:hAnsi="Times New Roman" w:cs="Times New Roman" w:hint="eastAsia"/>
                <w:szCs w:val="20"/>
                <w:lang w:val="en-GB" w:eastAsia="x-none"/>
              </w:rPr>
              <w:t>≤</w:t>
            </w:r>
            <w:r w:rsidRPr="006E4E14">
              <w:rPr>
                <w:rFonts w:ascii="Times New Roman" w:eastAsia="Batang" w:hAnsi="Times New Roman" w:cs="Times New Roman"/>
                <w:szCs w:val="20"/>
                <w:lang w:val="en-GB" w:eastAsia="x-none"/>
              </w:rPr>
              <w:t xml:space="preserve"> 16μs in a shared channel occupancy and the duration of the corresponding transmission is at most 584us.</w:t>
            </w:r>
          </w:p>
          <w:p w14:paraId="06F9ABDA"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any other transmission by a UE (e.g., other than COT sharing)</w:t>
            </w:r>
          </w:p>
          <w:p w14:paraId="33428ADC" w14:textId="77777777" w:rsidR="00F15EC6" w:rsidRPr="006E4E14" w:rsidRDefault="00F15EC6" w:rsidP="00F15EC6">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whether Type 2C is used also for the case of short control signalling transmission</w:t>
            </w:r>
          </w:p>
          <w:p w14:paraId="1AD5EA66" w14:textId="77777777" w:rsidR="00F15EC6" w:rsidRPr="006E4E14" w:rsidRDefault="00F15EC6" w:rsidP="00F15EC6">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under which conditions (other than the gap) UEs can apply the Type 2A/2B/2C SL channel access procedures</w:t>
            </w:r>
          </w:p>
          <w:p w14:paraId="7CA31DC5" w14:textId="77777777" w:rsidR="00F15EC6" w:rsidRPr="006E4E14" w:rsidRDefault="00F15EC6" w:rsidP="00CC75F4">
            <w:pPr>
              <w:numPr>
                <w:ilvl w:val="1"/>
                <w:numId w:val="27"/>
              </w:numPr>
              <w:autoSpaceDE w:val="0"/>
              <w:autoSpaceDN w:val="0"/>
              <w:spacing w:after="0" w:line="240" w:lineRule="auto"/>
              <w:jc w:val="both"/>
              <w:rPr>
                <w:rFonts w:ascii="Times New Roman" w:hAnsi="Times New Roman" w:cs="Times New Roman"/>
                <w:sz w:val="20"/>
                <w:szCs w:val="20"/>
                <w:lang w:val="en-GB" w:eastAsia="ja-JP"/>
              </w:rPr>
            </w:pPr>
            <w:r w:rsidRPr="006E4E14">
              <w:rPr>
                <w:rFonts w:ascii="Times New Roman" w:eastAsia="Batang" w:hAnsi="Times New Roman" w:cs="Times New Roman"/>
                <w:szCs w:val="20"/>
                <w:lang w:val="en-GB" w:eastAsia="x-none"/>
              </w:rPr>
              <w:t>FFS under which conditions Type 2B or Type 2C is applied in case of a gap of 16 μs</w:t>
            </w:r>
          </w:p>
          <w:p w14:paraId="360BDF59" w14:textId="77777777" w:rsidR="0043094C" w:rsidRPr="006E4E14" w:rsidRDefault="0043094C" w:rsidP="0043094C">
            <w:pPr>
              <w:autoSpaceDE w:val="0"/>
              <w:autoSpaceDN w:val="0"/>
              <w:spacing w:after="0" w:line="240" w:lineRule="auto"/>
              <w:jc w:val="both"/>
              <w:rPr>
                <w:rFonts w:ascii="Times New Roman" w:eastAsia="Batang" w:hAnsi="Times New Roman" w:cs="Times New Roman"/>
                <w:sz w:val="20"/>
                <w:szCs w:val="20"/>
                <w:lang w:val="en-GB" w:eastAsia="x-none"/>
              </w:rPr>
            </w:pPr>
          </w:p>
          <w:p w14:paraId="23EDF332" w14:textId="77777777" w:rsidR="0043094C" w:rsidRPr="006E4E14" w:rsidRDefault="0043094C" w:rsidP="0043094C">
            <w:pPr>
              <w:autoSpaceDE w:val="0"/>
              <w:autoSpaceDN w:val="0"/>
              <w:spacing w:after="0" w:line="240" w:lineRule="auto"/>
              <w:jc w:val="both"/>
              <w:rPr>
                <w:rFonts w:ascii="Times New Roman" w:hAnsi="Times New Roman" w:cs="Times New Roman"/>
                <w:sz w:val="20"/>
                <w:szCs w:val="20"/>
                <w:lang w:val="en-GB" w:eastAsia="ja-JP"/>
              </w:rPr>
            </w:pPr>
          </w:p>
          <w:p w14:paraId="01232F11" w14:textId="77777777" w:rsidR="0043094C" w:rsidRPr="006E4E14" w:rsidRDefault="0043094C" w:rsidP="0043094C">
            <w:pPr>
              <w:autoSpaceDE w:val="0"/>
              <w:autoSpaceDN w:val="0"/>
              <w:spacing w:after="0" w:line="240" w:lineRule="auto"/>
              <w:jc w:val="both"/>
              <w:rPr>
                <w:rFonts w:ascii="Times New Roman" w:eastAsia="SimSun" w:hAnsi="Times New Roman" w:cs="Times New Roman"/>
                <w:sz w:val="20"/>
                <w:szCs w:val="20"/>
                <w:lang w:eastAsia="zh-CN"/>
              </w:rPr>
            </w:pPr>
            <w:r w:rsidRPr="0043094C">
              <w:rPr>
                <w:rFonts w:ascii="Times New Roman" w:eastAsia="SimSun" w:hAnsi="Times New Roman" w:cs="Times New Roman"/>
                <w:b/>
                <w:bCs/>
                <w:iCs/>
                <w:szCs w:val="20"/>
                <w:highlight w:val="green"/>
                <w:lang w:eastAsia="zh-CN"/>
              </w:rPr>
              <w:t>Agreement</w:t>
            </w:r>
          </w:p>
          <w:p w14:paraId="3DD16084" w14:textId="77777777" w:rsidR="0043094C" w:rsidRPr="006E4E14" w:rsidRDefault="0043094C" w:rsidP="0043094C">
            <w:pPr>
              <w:numPr>
                <w:ilvl w:val="0"/>
                <w:numId w:val="60"/>
              </w:numPr>
              <w:autoSpaceDE w:val="0"/>
              <w:autoSpaceDN w:val="0"/>
              <w:adjustRightInd w:val="0"/>
              <w:snapToGrid w:val="0"/>
              <w:spacing w:after="0" w:line="276" w:lineRule="auto"/>
              <w:ind w:leftChars="100" w:left="560"/>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Type 1 SL channel access procedure is applicable to the following transmissions by a UE:</w:t>
            </w:r>
          </w:p>
          <w:p w14:paraId="24706A6B"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PSSCH/PSCCH transmission(s) scheduled or configured by a gNB in SL Mode 1 resource allocation.</w:t>
            </w:r>
          </w:p>
          <w:p w14:paraId="07AF4E3C"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PSSCH/PSCCH transmission(s) from the UE in SL Mode 2 resource allocation.</w:t>
            </w:r>
          </w:p>
          <w:p w14:paraId="6B591296"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Other SL transmissions including S-SSB and PSFCH transmissions from a UE</w:t>
            </w:r>
          </w:p>
          <w:p w14:paraId="532AE693" w14:textId="77777777" w:rsidR="0043094C" w:rsidRPr="006E4E14" w:rsidRDefault="0043094C" w:rsidP="0043094C">
            <w:pPr>
              <w:numPr>
                <w:ilvl w:val="2"/>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FFS: how to set CAPC for S-SSB and PSFCH</w:t>
            </w:r>
          </w:p>
          <w:p w14:paraId="2FDC6667"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Note: Type 1 can be used to initiate a COT</w:t>
            </w:r>
          </w:p>
          <w:p w14:paraId="35513E75" w14:textId="77777777" w:rsidR="0043094C" w:rsidRPr="006E4E14" w:rsidRDefault="0043094C" w:rsidP="0043094C">
            <w:pPr>
              <w:numPr>
                <w:ilvl w:val="0"/>
                <w:numId w:val="60"/>
              </w:numPr>
              <w:autoSpaceDE w:val="0"/>
              <w:autoSpaceDN w:val="0"/>
              <w:adjustRightInd w:val="0"/>
              <w:snapToGrid w:val="0"/>
              <w:spacing w:after="0" w:line="276" w:lineRule="auto"/>
              <w:ind w:leftChars="100" w:left="560"/>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A UE uses a channel access priority class applicable to the sidelink user plane data multiplexed in PSSCH for performing the Type 1 channel access procedures to transmit transmission(s) including PSSCH with user plane data and its associated PSCCH.</w:t>
            </w:r>
          </w:p>
          <w:p w14:paraId="08D5DB75" w14:textId="77777777" w:rsidR="0043094C" w:rsidRPr="006E4E14" w:rsidRDefault="0043094C" w:rsidP="0043094C">
            <w:pPr>
              <w:numPr>
                <w:ilvl w:val="1"/>
                <w:numId w:val="60"/>
              </w:numPr>
              <w:autoSpaceDE w:val="0"/>
              <w:autoSpaceDN w:val="0"/>
              <w:adjustRightInd w:val="0"/>
              <w:snapToGrid w:val="0"/>
              <w:spacing w:after="0" w:line="276" w:lineRule="auto"/>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Note: how to set CAPC for MAC CE multiplexed in PSSCH is up to RAN2</w:t>
            </w:r>
          </w:p>
          <w:p w14:paraId="0F50DFE3" w14:textId="77777777" w:rsidR="0043094C" w:rsidRPr="006E4E14" w:rsidRDefault="0043094C" w:rsidP="0043094C">
            <w:pPr>
              <w:numPr>
                <w:ilvl w:val="0"/>
                <w:numId w:val="60"/>
              </w:numPr>
              <w:autoSpaceDE w:val="0"/>
              <w:autoSpaceDN w:val="0"/>
              <w:adjustRightInd w:val="0"/>
              <w:snapToGrid w:val="0"/>
              <w:spacing w:after="0" w:line="276" w:lineRule="auto"/>
              <w:ind w:leftChars="100" w:left="560"/>
              <w:jc w:val="both"/>
              <w:rPr>
                <w:rFonts w:ascii="Times New Roman" w:eastAsia="Batang" w:hAnsi="Times New Roman" w:cs="Times New Roman"/>
                <w:sz w:val="20"/>
                <w:szCs w:val="20"/>
                <w:lang w:val="en-GB" w:eastAsia="x-none"/>
              </w:rPr>
            </w:pPr>
            <w:r w:rsidRPr="0043094C">
              <w:rPr>
                <w:rFonts w:ascii="Times New Roman" w:eastAsia="Batang" w:hAnsi="Times New Roman" w:cs="Times New Roman"/>
                <w:szCs w:val="20"/>
                <w:lang w:val="en-GB" w:eastAsia="x-none"/>
              </w:rPr>
              <w:t xml:space="preserve">A UE shall not transmit on a channel for a Channel Occupancy Time that exceeds the maximum COT duration where the channel access procedures are performed based on a channel access priority class </w:t>
            </w:r>
            <w:r w:rsidRPr="0043094C">
              <w:rPr>
                <w:rFonts w:ascii="Times New Roman" w:eastAsia="Batang" w:hAnsi="Times New Roman" w:cs="Times New Roman"/>
                <w:i/>
                <w:szCs w:val="20"/>
                <w:lang w:val="en-GB" w:eastAsia="x-none"/>
              </w:rPr>
              <w:t>p</w:t>
            </w:r>
            <w:r w:rsidRPr="0043094C">
              <w:rPr>
                <w:rFonts w:ascii="Times New Roman" w:eastAsia="Batang" w:hAnsi="Times New Roman" w:cs="Times New Roman"/>
                <w:szCs w:val="20"/>
                <w:lang w:val="en-GB" w:eastAsia="x-none"/>
              </w:rPr>
              <w:t xml:space="preserve"> </w:t>
            </w:r>
            <w:r w:rsidRPr="006E4E14">
              <w:rPr>
                <w:rFonts w:ascii="Times New Roman" w:eastAsia="Batang" w:hAnsi="Times New Roman" w:cs="Times New Roman"/>
                <w:szCs w:val="20"/>
                <w:lang w:val="en-GB" w:eastAsia="x-none"/>
              </w:rPr>
              <w:fldChar w:fldCharType="begin"/>
            </w:r>
            <w:r w:rsidRPr="0043094C">
              <w:rPr>
                <w:rFonts w:ascii="Times New Roman" w:eastAsia="Batang" w:hAnsi="Times New Roman" w:cs="Times New Roman"/>
                <w:szCs w:val="20"/>
                <w:lang w:val="en-GB" w:eastAsia="x-none"/>
              </w:rPr>
              <w:instrText xml:space="preserve"> QUOTE </w:instrText>
            </w:r>
            <m:oMath>
              <m:r>
                <m:rPr>
                  <m:sty m:val="p"/>
                </m:rPr>
                <w:rPr>
                  <w:rFonts w:ascii="Cambria Math" w:eastAsia="Batang" w:hAnsi="Cambria Math" w:cs="Times New Roman"/>
                  <w:color w:val="FF0000"/>
                  <w:szCs w:val="20"/>
                  <w:lang w:val="en-GB" w:eastAsia="x-none"/>
                </w:rPr>
                <m:t>p</m:t>
              </m:r>
            </m:oMath>
            <w:r w:rsidRPr="0043094C">
              <w:rPr>
                <w:rFonts w:ascii="Times New Roman" w:eastAsia="Batang" w:hAnsi="Times New Roman" w:cs="Times New Roman"/>
                <w:szCs w:val="20"/>
                <w:lang w:val="en-GB" w:eastAsia="x-none"/>
              </w:rPr>
              <w:instrText xml:space="preserve"> </w:instrText>
            </w:r>
            <w:r w:rsidR="00000000">
              <w:rPr>
                <w:rFonts w:ascii="Times New Roman" w:eastAsia="Batang" w:hAnsi="Times New Roman" w:cs="Times New Roman"/>
                <w:szCs w:val="20"/>
                <w:lang w:val="en-GB" w:eastAsia="x-none"/>
              </w:rPr>
              <w:fldChar w:fldCharType="separate"/>
            </w:r>
            <w:r w:rsidRPr="006E4E14">
              <w:rPr>
                <w:rFonts w:ascii="Times New Roman" w:eastAsia="Batang" w:hAnsi="Times New Roman" w:cs="Times New Roman"/>
                <w:szCs w:val="20"/>
                <w:lang w:val="en-GB" w:eastAsia="x-none"/>
              </w:rPr>
              <w:fldChar w:fldCharType="end"/>
            </w:r>
            <w:r w:rsidRPr="0043094C">
              <w:rPr>
                <w:rFonts w:ascii="Times New Roman" w:eastAsia="Batang" w:hAnsi="Times New Roman" w:cs="Times New Roman"/>
                <w:sz w:val="20"/>
                <w:szCs w:val="20"/>
                <w:lang w:val="en-GB" w:eastAsia="x-none"/>
              </w:rPr>
              <w:t>associated with the UE transmissions, as given in CAPC table for SL.</w:t>
            </w:r>
          </w:p>
          <w:p w14:paraId="0AEDBF7C" w14:textId="27813C2B" w:rsidR="0043094C" w:rsidRPr="0043094C" w:rsidRDefault="0043094C" w:rsidP="006E4E14">
            <w:pPr>
              <w:autoSpaceDE w:val="0"/>
              <w:autoSpaceDN w:val="0"/>
              <w:spacing w:after="0" w:line="240" w:lineRule="auto"/>
              <w:jc w:val="both"/>
              <w:rPr>
                <w:lang w:val="en-GB" w:eastAsia="ja-JP"/>
              </w:rPr>
            </w:pPr>
          </w:p>
        </w:tc>
      </w:tr>
    </w:tbl>
    <w:p w14:paraId="320DC7BE" w14:textId="3F3CAEEF" w:rsidR="00E7665E" w:rsidRDefault="00BF48F9" w:rsidP="00E7665E">
      <w:pPr>
        <w:pStyle w:val="IvDbodytext"/>
        <w:jc w:val="both"/>
      </w:pPr>
      <w:r>
        <w:lastRenderedPageBreak/>
        <w:t>We</w:t>
      </w:r>
      <w:r w:rsidR="00E7665E">
        <w:t xml:space="preserve"> think that semi-static procedure is not well-suited for SL-U in general but could only be feasible under really specific conditions and for certain transmissions. Therefore, we propose to down-prioritize the study of semi-static channel access procedure in favor of the Type 1 and Type 2 (2A and 2B) channel access procedures.</w:t>
      </w:r>
    </w:p>
    <w:p w14:paraId="49859E98" w14:textId="7EFCC21B" w:rsidR="0043094C" w:rsidRDefault="00641A7F" w:rsidP="0032676F">
      <w:pPr>
        <w:pStyle w:val="Proposal"/>
        <w:spacing w:before="240"/>
        <w:rPr>
          <w:lang w:eastAsia="ja-JP"/>
        </w:rPr>
      </w:pPr>
      <w:bookmarkStart w:id="5" w:name="_Toc127544543"/>
      <w:r>
        <w:t>In Rel-18, t</w:t>
      </w:r>
      <w:r w:rsidR="00E7665E">
        <w:t>he study of semi-static channel access procedures is down-prioritized in favor of Type 1 and Type 2 (2A and 2B) channel access procedures due to its limited applicability scenario.</w:t>
      </w:r>
      <w:bookmarkEnd w:id="5"/>
    </w:p>
    <w:tbl>
      <w:tblPr>
        <w:tblStyle w:val="TableGrid"/>
        <w:tblW w:w="0" w:type="auto"/>
        <w:tblLook w:val="04A0" w:firstRow="1" w:lastRow="0" w:firstColumn="1" w:lastColumn="0" w:noHBand="0" w:noVBand="1"/>
      </w:tblPr>
      <w:tblGrid>
        <w:gridCol w:w="9629"/>
      </w:tblGrid>
      <w:tr w:rsidR="0043094C" w14:paraId="06C3C809" w14:textId="77777777" w:rsidTr="0043094C">
        <w:tc>
          <w:tcPr>
            <w:tcW w:w="9629" w:type="dxa"/>
          </w:tcPr>
          <w:p w14:paraId="1FDDB07A" w14:textId="77777777" w:rsidR="0043094C" w:rsidRPr="00BA4B87" w:rsidRDefault="0043094C" w:rsidP="0043094C">
            <w:pPr>
              <w:autoSpaceDE w:val="0"/>
              <w:autoSpaceDN w:val="0"/>
              <w:spacing w:before="120"/>
              <w:jc w:val="both"/>
              <w:rPr>
                <w:rFonts w:ascii="Times New Roman" w:hAnsi="Times New Roman" w:cs="Times New Roman"/>
                <w:sz w:val="20"/>
                <w:szCs w:val="20"/>
              </w:rPr>
            </w:pPr>
            <w:r w:rsidRPr="00BA4B87">
              <w:rPr>
                <w:rFonts w:ascii="Times New Roman" w:hAnsi="Times New Roman" w:cs="Times New Roman"/>
                <w:b/>
                <w:bCs/>
                <w:sz w:val="20"/>
                <w:szCs w:val="20"/>
                <w:highlight w:val="green"/>
              </w:rPr>
              <w:t>Agreement</w:t>
            </w:r>
          </w:p>
          <w:p w14:paraId="16C7FC6F" w14:textId="77777777" w:rsidR="0043094C" w:rsidRPr="006B1E12" w:rsidRDefault="0043094C" w:rsidP="0043094C">
            <w:pPr>
              <w:pStyle w:val="ListParagraph"/>
              <w:autoSpaceDE w:val="0"/>
              <w:autoSpaceDN w:val="0"/>
              <w:ind w:left="0"/>
              <w:jc w:val="both"/>
              <w:rPr>
                <w:rFonts w:ascii="Times New Roman" w:hAnsi="Times New Roman"/>
                <w:szCs w:val="20"/>
              </w:rPr>
            </w:pPr>
            <w:r w:rsidRPr="006B1E12">
              <w:rPr>
                <w:rFonts w:ascii="Times New Roman" w:hAnsi="Times New Roman"/>
                <w:szCs w:val="20"/>
              </w:rPr>
              <w:t xml:space="preserve">In Type 1 SL channel access procedure, the following table is adopted for channel access priority class (CAPC) for SL. </w:t>
            </w:r>
          </w:p>
          <w:p w14:paraId="112BE613" w14:textId="77777777" w:rsidR="0043094C" w:rsidRPr="006B1E12" w:rsidRDefault="0043094C" w:rsidP="0043094C">
            <w:pPr>
              <w:pStyle w:val="ListParagraph"/>
              <w:numPr>
                <w:ilvl w:val="0"/>
                <w:numId w:val="60"/>
              </w:numPr>
              <w:autoSpaceDE w:val="0"/>
              <w:autoSpaceDN w:val="0"/>
              <w:adjustRightInd w:val="0"/>
              <w:snapToGrid w:val="0"/>
              <w:spacing w:line="276" w:lineRule="auto"/>
              <w:ind w:leftChars="100" w:left="560"/>
              <w:jc w:val="both"/>
              <w:rPr>
                <w:rFonts w:ascii="Times New Roman" w:hAnsi="Times New Roman"/>
                <w:szCs w:val="20"/>
              </w:rPr>
            </w:pPr>
            <w:r w:rsidRPr="006B1E12">
              <w:rPr>
                <w:rFonts w:ascii="Times New Roman" w:hAnsi="Times New Roman"/>
                <w:szCs w:val="20"/>
                <w:lang w:val="en-AU"/>
              </w:rPr>
              <w:t>FFS: the applicability and usage of NOTE1 in the table</w:t>
            </w:r>
          </w:p>
          <w:p w14:paraId="5C261FC6" w14:textId="77777777" w:rsidR="0043094C" w:rsidRPr="006B1E12" w:rsidRDefault="0043094C" w:rsidP="0043094C">
            <w:pPr>
              <w:pStyle w:val="ListParagraph"/>
              <w:numPr>
                <w:ilvl w:val="0"/>
                <w:numId w:val="60"/>
              </w:numPr>
              <w:autoSpaceDE w:val="0"/>
              <w:autoSpaceDN w:val="0"/>
              <w:adjustRightInd w:val="0"/>
              <w:snapToGrid w:val="0"/>
              <w:spacing w:line="276" w:lineRule="auto"/>
              <w:ind w:leftChars="100" w:left="560"/>
              <w:jc w:val="both"/>
              <w:rPr>
                <w:rFonts w:ascii="Times New Roman" w:hAnsi="Times New Roman"/>
                <w:szCs w:val="20"/>
              </w:rPr>
            </w:pPr>
            <w:r w:rsidRPr="006B1E12">
              <w:rPr>
                <w:rFonts w:ascii="Times New Roman" w:hAnsi="Times New Roman"/>
                <w:szCs w:val="20"/>
                <w:lang w:val="en-AU"/>
              </w:rPr>
              <w:t xml:space="preserve">FFS: whether </w:t>
            </w:r>
            <w:r w:rsidRPr="006B1E12">
              <w:rPr>
                <w:rFonts w:ascii="Times New Roman" w:hAnsi="Times New Roman"/>
                <w:b/>
                <w:bCs/>
                <w:i/>
                <w:iCs/>
                <w:szCs w:val="20"/>
              </w:rPr>
              <w:t>mp</w:t>
            </w:r>
            <w:r w:rsidRPr="006B1E12">
              <w:rPr>
                <w:rFonts w:ascii="Times New Roman" w:hAnsi="Times New Roman"/>
                <w:i/>
                <w:iCs/>
                <w:szCs w:val="20"/>
              </w:rPr>
              <w:t>=1</w:t>
            </w:r>
            <w:r w:rsidRPr="006B1E12">
              <w:rPr>
                <w:rFonts w:ascii="Times New Roman" w:hAnsi="Times New Roman"/>
                <w:szCs w:val="20"/>
                <w:lang w:val="en-AU"/>
              </w:rPr>
              <w:t xml:space="preserve"> can be used with </w:t>
            </w:r>
            <w:r w:rsidRPr="006B1E12">
              <w:rPr>
                <w:rFonts w:ascii="Times New Roman" w:hAnsi="Times New Roman"/>
                <w:b/>
                <w:bCs/>
                <w:i/>
                <w:iCs/>
                <w:szCs w:val="20"/>
              </w:rPr>
              <w:t>p=1</w:t>
            </w:r>
            <w:r w:rsidRPr="006B1E12">
              <w:rPr>
                <w:rFonts w:ascii="Times New Roman" w:hAnsi="Times New Roman"/>
                <w:szCs w:val="20"/>
                <w:lang w:val="en-AU"/>
              </w:rPr>
              <w:t xml:space="preserve">, and applicable cases </w:t>
            </w:r>
          </w:p>
          <w:tbl>
            <w:tblPr>
              <w:tblW w:w="0" w:type="auto"/>
              <w:tblCellMar>
                <w:left w:w="0" w:type="dxa"/>
                <w:right w:w="0" w:type="dxa"/>
              </w:tblCellMar>
              <w:tblLook w:val="04A0" w:firstRow="1" w:lastRow="0" w:firstColumn="1" w:lastColumn="0" w:noHBand="0" w:noVBand="1"/>
            </w:tblPr>
            <w:tblGrid>
              <w:gridCol w:w="1371"/>
              <w:gridCol w:w="630"/>
              <w:gridCol w:w="990"/>
              <w:gridCol w:w="990"/>
              <w:gridCol w:w="1890"/>
              <w:gridCol w:w="2700"/>
            </w:tblGrid>
            <w:tr w:rsidR="0043094C" w14:paraId="011CE8D5" w14:textId="77777777" w:rsidTr="0001091F">
              <w:trPr>
                <w:trHeight w:val="554"/>
              </w:trPr>
              <w:tc>
                <w:tcPr>
                  <w:tcW w:w="1371"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D9DC399" w14:textId="77777777" w:rsidR="0043094C" w:rsidRPr="00274C56" w:rsidRDefault="0043094C" w:rsidP="0043094C">
                  <w:pPr>
                    <w:pStyle w:val="TAH"/>
                    <w:rPr>
                      <w:rFonts w:eastAsia="SimSun"/>
                    </w:rPr>
                  </w:pPr>
                  <w:r>
                    <w:rPr>
                      <w:color w:val="000000"/>
                    </w:rPr>
                    <w:t>Channel Access Priority Class (</w:t>
                  </w:r>
                  <w:r>
                    <w:rPr>
                      <w:rFonts w:ascii="Cambria Math" w:hAnsi="Cambria Math"/>
                      <w:i/>
                      <w:iCs/>
                      <w:color w:val="000000"/>
                    </w:rPr>
                    <w:t>p</w:t>
                  </w:r>
                  <w:r>
                    <w:rPr>
                      <w:color w:val="000000"/>
                    </w:rPr>
                    <w:t>)</w:t>
                  </w:r>
                </w:p>
              </w:tc>
              <w:tc>
                <w:tcPr>
                  <w:tcW w:w="63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865A829" w14:textId="77777777" w:rsidR="0043094C" w:rsidRDefault="0043094C" w:rsidP="0043094C">
                  <w:pPr>
                    <w:pStyle w:val="TAH"/>
                  </w:pPr>
                  <w:r>
                    <w:rPr>
                      <w:rFonts w:ascii="Cambria Math" w:hAnsi="Cambria Math"/>
                      <w:i/>
                      <w:iCs/>
                      <w:color w:val="000000"/>
                    </w:rPr>
                    <w:t>mp</w:t>
                  </w:r>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EF11619" w14:textId="77777777" w:rsidR="0043094C" w:rsidRDefault="0043094C" w:rsidP="0043094C">
                  <w:pPr>
                    <w:pStyle w:val="TAH"/>
                  </w:pPr>
                  <w:r>
                    <w:rPr>
                      <w:rFonts w:ascii="Cambria Math" w:hAnsi="Cambria Math"/>
                      <w:i/>
                      <w:iCs/>
                      <w:color w:val="000000"/>
                    </w:rPr>
                    <w:t>CWmin,p</w:t>
                  </w:r>
                </w:p>
              </w:tc>
              <w:tc>
                <w:tcPr>
                  <w:tcW w:w="9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E97176" w14:textId="77777777" w:rsidR="0043094C" w:rsidRDefault="0043094C" w:rsidP="0043094C">
                  <w:pPr>
                    <w:pStyle w:val="TAH"/>
                  </w:pPr>
                  <w:r>
                    <w:rPr>
                      <w:rFonts w:ascii="Cambria Math" w:hAnsi="Cambria Math"/>
                      <w:i/>
                      <w:iCs/>
                      <w:color w:val="000000"/>
                    </w:rPr>
                    <w:t>CWmax,p</w:t>
                  </w:r>
                </w:p>
              </w:tc>
              <w:tc>
                <w:tcPr>
                  <w:tcW w:w="189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3B26E12" w14:textId="77777777" w:rsidR="0043094C" w:rsidRDefault="0043094C" w:rsidP="0043094C">
                  <w:pPr>
                    <w:pStyle w:val="TAH"/>
                  </w:pPr>
                  <w:r>
                    <w:rPr>
                      <w:rFonts w:ascii="Cambria Math" w:hAnsi="Cambria Math"/>
                      <w:i/>
                      <w:iCs/>
                      <w:color w:val="000000"/>
                    </w:rPr>
                    <w:t>Tslmcot,p</w:t>
                  </w:r>
                </w:p>
              </w:tc>
              <w:tc>
                <w:tcPr>
                  <w:tcW w:w="270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F3576D7" w14:textId="77777777" w:rsidR="0043094C" w:rsidRDefault="0043094C" w:rsidP="0043094C">
                  <w:pPr>
                    <w:pStyle w:val="TAH"/>
                  </w:pPr>
                  <w:r>
                    <w:rPr>
                      <w:color w:val="000000"/>
                    </w:rPr>
                    <w:t xml:space="preserve">allowed </w:t>
                  </w:r>
                  <w:r>
                    <w:rPr>
                      <w:rFonts w:ascii="Cambria Math" w:hAnsi="Cambria Math"/>
                      <w:i/>
                      <w:iCs/>
                      <w:color w:val="000000"/>
                    </w:rPr>
                    <w:t>CWp</w:t>
                  </w:r>
                  <w:r>
                    <w:rPr>
                      <w:color w:val="000000"/>
                    </w:rPr>
                    <w:t xml:space="preserve"> sizes</w:t>
                  </w:r>
                </w:p>
              </w:tc>
            </w:tr>
            <w:tr w:rsidR="0043094C" w14:paraId="35AB1605" w14:textId="77777777" w:rsidTr="0001091F">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1CD4DF" w14:textId="77777777" w:rsidR="0043094C" w:rsidRDefault="0043094C" w:rsidP="0043094C">
                  <w:pPr>
                    <w:pStyle w:val="TAC"/>
                  </w:pPr>
                  <w:r>
                    <w:t>1</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1F5045" w14:textId="77777777" w:rsidR="0043094C" w:rsidRDefault="0043094C" w:rsidP="0043094C">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574387" w14:textId="77777777" w:rsidR="0043094C" w:rsidRDefault="0043094C" w:rsidP="0043094C">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C6716D" w14:textId="77777777" w:rsidR="0043094C" w:rsidRDefault="0043094C" w:rsidP="0043094C">
                  <w:pPr>
                    <w:pStyle w:val="TAC"/>
                  </w:pPr>
                  <w:r>
                    <w:t>7</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FA4534" w14:textId="77777777" w:rsidR="0043094C" w:rsidRDefault="0043094C" w:rsidP="0043094C">
                  <w:pPr>
                    <w:pStyle w:val="TAC"/>
                  </w:pPr>
                  <w:r>
                    <w:t>2 ms</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3DB73B" w14:textId="77777777" w:rsidR="0043094C" w:rsidRDefault="0043094C" w:rsidP="0043094C">
                  <w:pPr>
                    <w:pStyle w:val="TAC"/>
                  </w:pPr>
                  <w:r>
                    <w:t>{3,7}</w:t>
                  </w:r>
                </w:p>
              </w:tc>
            </w:tr>
            <w:tr w:rsidR="0043094C" w14:paraId="5774CAFC" w14:textId="77777777" w:rsidTr="0001091F">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789182" w14:textId="77777777" w:rsidR="0043094C" w:rsidRDefault="0043094C" w:rsidP="0043094C">
                  <w:pPr>
                    <w:pStyle w:val="TAC"/>
                  </w:pPr>
                  <w:r>
                    <w:t>2</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73244F" w14:textId="77777777" w:rsidR="0043094C" w:rsidRDefault="0043094C" w:rsidP="0043094C">
                  <w:pPr>
                    <w:pStyle w:val="TAC"/>
                  </w:pPr>
                  <w:r>
                    <w:t>2</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44BCC0" w14:textId="77777777" w:rsidR="0043094C" w:rsidRDefault="0043094C" w:rsidP="0043094C">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09C141" w14:textId="77777777" w:rsidR="0043094C" w:rsidRDefault="0043094C" w:rsidP="0043094C">
                  <w:pPr>
                    <w:pStyle w:val="TAC"/>
                  </w:pPr>
                  <w:r>
                    <w:t>15</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47BA99" w14:textId="77777777" w:rsidR="0043094C" w:rsidRDefault="0043094C" w:rsidP="0043094C">
                  <w:pPr>
                    <w:pStyle w:val="TAC"/>
                  </w:pPr>
                  <w:r>
                    <w:t>4 ms</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CE4D34" w14:textId="77777777" w:rsidR="0043094C" w:rsidRDefault="0043094C" w:rsidP="0043094C">
                  <w:pPr>
                    <w:pStyle w:val="TAC"/>
                  </w:pPr>
                  <w:r>
                    <w:t>{7,15}</w:t>
                  </w:r>
                </w:p>
              </w:tc>
            </w:tr>
            <w:tr w:rsidR="0043094C" w14:paraId="67BE9074" w14:textId="77777777" w:rsidTr="0001091F">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9C1292" w14:textId="77777777" w:rsidR="0043094C" w:rsidRDefault="0043094C" w:rsidP="0043094C">
                  <w:pPr>
                    <w:pStyle w:val="TAC"/>
                  </w:pPr>
                  <w:r>
                    <w:t>3</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12988" w14:textId="77777777" w:rsidR="0043094C" w:rsidRDefault="0043094C" w:rsidP="0043094C">
                  <w:pPr>
                    <w:pStyle w:val="TAC"/>
                  </w:pPr>
                  <w:r>
                    <w:t>3</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230C9E" w14:textId="77777777" w:rsidR="0043094C" w:rsidRDefault="0043094C" w:rsidP="0043094C">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A7C471" w14:textId="77777777" w:rsidR="0043094C" w:rsidRDefault="0043094C" w:rsidP="0043094C">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801FD" w14:textId="77777777" w:rsidR="0043094C" w:rsidRDefault="0043094C" w:rsidP="0043094C">
                  <w:pPr>
                    <w:pStyle w:val="TAC"/>
                  </w:pPr>
                  <w:r>
                    <w:t xml:space="preserve">6ms [or 10 ms] </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E0FFB5" w14:textId="77777777" w:rsidR="0043094C" w:rsidRDefault="0043094C" w:rsidP="0043094C">
                  <w:pPr>
                    <w:pStyle w:val="TAC"/>
                  </w:pPr>
                  <w:r>
                    <w:t>{15,31,63,127,255,511,1023}</w:t>
                  </w:r>
                </w:p>
              </w:tc>
            </w:tr>
            <w:tr w:rsidR="0043094C" w14:paraId="326BD29C" w14:textId="77777777" w:rsidTr="0001091F">
              <w:trPr>
                <w:trHeight w:val="20"/>
              </w:trPr>
              <w:tc>
                <w:tcPr>
                  <w:tcW w:w="137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B8A836" w14:textId="77777777" w:rsidR="0043094C" w:rsidRDefault="0043094C" w:rsidP="0043094C">
                  <w:pPr>
                    <w:pStyle w:val="TAC"/>
                  </w:pPr>
                  <w:r>
                    <w:t>4</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9E527" w14:textId="77777777" w:rsidR="0043094C" w:rsidRDefault="0043094C" w:rsidP="0043094C">
                  <w:pPr>
                    <w:pStyle w:val="TAC"/>
                  </w:pPr>
                  <w:r>
                    <w:t>7</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78D238" w14:textId="77777777" w:rsidR="0043094C" w:rsidRDefault="0043094C" w:rsidP="0043094C">
                  <w:pPr>
                    <w:pStyle w:val="TAC"/>
                  </w:pPr>
                  <w:r>
                    <w:t>15</w:t>
                  </w:r>
                </w:p>
              </w:tc>
              <w:tc>
                <w:tcPr>
                  <w:tcW w:w="9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5B25E" w14:textId="77777777" w:rsidR="0043094C" w:rsidRDefault="0043094C" w:rsidP="0043094C">
                  <w:pPr>
                    <w:pStyle w:val="TAC"/>
                  </w:pPr>
                  <w:r>
                    <w:t>1023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389C15" w14:textId="77777777" w:rsidR="0043094C" w:rsidRDefault="0043094C" w:rsidP="0043094C">
                  <w:pPr>
                    <w:pStyle w:val="TAC"/>
                  </w:pPr>
                  <w:r>
                    <w:t>6ms [or 10 ms]</w:t>
                  </w:r>
                </w:p>
              </w:tc>
              <w:tc>
                <w:tcPr>
                  <w:tcW w:w="270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C8CCF7" w14:textId="77777777" w:rsidR="0043094C" w:rsidRDefault="0043094C" w:rsidP="0043094C">
                  <w:pPr>
                    <w:pStyle w:val="TAC"/>
                  </w:pPr>
                  <w:r>
                    <w:t>{15,31,63,127,255,511,1023}</w:t>
                  </w:r>
                </w:p>
              </w:tc>
            </w:tr>
            <w:tr w:rsidR="0043094C" w14:paraId="074F7E47" w14:textId="77777777" w:rsidTr="0001091F">
              <w:trPr>
                <w:trHeight w:val="554"/>
              </w:trPr>
              <w:tc>
                <w:tcPr>
                  <w:tcW w:w="8571" w:type="dxa"/>
                  <w:gridSpan w:val="6"/>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7B6AF6" w14:textId="77777777" w:rsidR="0043094C" w:rsidRPr="004A6830" w:rsidRDefault="0043094C" w:rsidP="0043094C">
                  <w:pPr>
                    <w:pStyle w:val="TAN"/>
                    <w:rPr>
                      <w:rFonts w:ascii="Times New Roman" w:hAnsi="Times New Roman" w:cs="Times New Roman"/>
                    </w:rPr>
                  </w:pPr>
                  <w:r w:rsidRPr="004A6830">
                    <w:rPr>
                      <w:rFonts w:ascii="Times New Roman" w:hAnsi="Times New Roman" w:cs="Times New Roman"/>
                      <w:lang w:val="en-AU"/>
                    </w:rPr>
                    <w:t>[NOTE1:</w:t>
                  </w:r>
                  <w:r w:rsidRPr="004A6830">
                    <w:rPr>
                      <w:rFonts w:ascii="Times New Roman" w:hAnsi="Times New Roman" w:cs="Times New Roman"/>
                    </w:rPr>
                    <w:t>   For</w:t>
                  </w:r>
                  <w:r w:rsidRPr="004A6830">
                    <w:rPr>
                      <w:rFonts w:ascii="Times New Roman" w:hAnsi="Times New Roman" w:cs="Times New Roman"/>
                      <w:i/>
                      <w:iCs/>
                    </w:rPr>
                    <w:t>p</w:t>
                  </w:r>
                  <w:r w:rsidRPr="004A6830">
                    <w:rPr>
                      <w:rFonts w:ascii="Times New Roman" w:hAnsi="Times New Roman" w:cs="Times New Roman"/>
                    </w:rPr>
                    <w:t xml:space="preserve">=3,4, </w:t>
                  </w:r>
                  <w:r w:rsidRPr="004A6830">
                    <w:rPr>
                      <w:rFonts w:ascii="Times New Roman" w:hAnsi="Times New Roman" w:cs="Times New Roman"/>
                      <w:i/>
                      <w:iCs/>
                    </w:rPr>
                    <w:t>Tslmcot</w:t>
                  </w:r>
                  <w:r w:rsidRPr="004A6830">
                    <w:rPr>
                      <w:rFonts w:ascii="Times New Roman" w:hAnsi="Times New Roman" w:cs="Times New Roman"/>
                    </w:rPr>
                    <w:t>,</w:t>
                  </w:r>
                  <w:r w:rsidRPr="004A6830">
                    <w:rPr>
                      <w:rFonts w:ascii="Times New Roman" w:hAnsi="Times New Roman" w:cs="Times New Roman"/>
                      <w:i/>
                      <w:iCs/>
                    </w:rPr>
                    <w:t>p</w:t>
                  </w:r>
                  <w:r w:rsidRPr="004A6830">
                    <w:rPr>
                      <w:rFonts w:ascii="Times New Roman" w:hAnsi="Times New Roman" w:cs="Times New Roman"/>
                    </w:rPr>
                    <w:t>=10</w:t>
                  </w:r>
                  <w:r w:rsidRPr="004A6830">
                    <w:rPr>
                      <w:rFonts w:ascii="Times New Roman" w:hAnsi="Times New Roman" w:cs="Times New Roman"/>
                      <w:i/>
                      <w:iCs/>
                    </w:rPr>
                    <w:t>ms</w:t>
                  </w:r>
                  <w:r w:rsidRPr="004A6830">
                    <w:rPr>
                      <w:rFonts w:ascii="Times New Roman" w:hAnsi="Times New Roman" w:cs="Times New Roman"/>
                    </w:rPr>
                    <w:t xml:space="preserve"> if the higher layer parameter absenceOfAnyOtherTechnology-r14 or absenceOfAnyOtherTechnology-r16 is provided, otherwise,</w:t>
                  </w:r>
                  <w:r w:rsidRPr="004A6830">
                    <w:rPr>
                      <w:rFonts w:ascii="Times New Roman" w:hAnsi="Times New Roman" w:cs="Times New Roman"/>
                      <w:i/>
                      <w:iCs/>
                    </w:rPr>
                    <w:t>Tslmcot</w:t>
                  </w:r>
                  <w:r w:rsidRPr="004A6830">
                    <w:rPr>
                      <w:rFonts w:ascii="Times New Roman" w:hAnsi="Times New Roman" w:cs="Times New Roman"/>
                    </w:rPr>
                    <w:t>,</w:t>
                  </w:r>
                  <w:r w:rsidRPr="004A6830">
                    <w:rPr>
                      <w:rFonts w:ascii="Times New Roman" w:hAnsi="Times New Roman" w:cs="Times New Roman"/>
                      <w:i/>
                      <w:iCs/>
                    </w:rPr>
                    <w:t>p</w:t>
                  </w:r>
                  <w:r w:rsidRPr="004A6830">
                    <w:rPr>
                      <w:rFonts w:ascii="Times New Roman" w:hAnsi="Times New Roman" w:cs="Times New Roman"/>
                    </w:rPr>
                    <w:t>=6</w:t>
                  </w:r>
                  <w:r w:rsidRPr="004A6830">
                    <w:rPr>
                      <w:rFonts w:ascii="Times New Roman" w:hAnsi="Times New Roman" w:cs="Times New Roman"/>
                      <w:i/>
                      <w:iCs/>
                    </w:rPr>
                    <w:t>ms</w:t>
                  </w:r>
                  <w:r w:rsidRPr="004A6830">
                    <w:rPr>
                      <w:rFonts w:ascii="Times New Roman" w:hAnsi="Times New Roman" w:cs="Times New Roman"/>
                    </w:rPr>
                    <w:t>.]</w:t>
                  </w:r>
                </w:p>
                <w:p w14:paraId="32C33EDD" w14:textId="77777777" w:rsidR="0043094C" w:rsidRDefault="0043094C" w:rsidP="0043094C">
                  <w:pPr>
                    <w:pStyle w:val="TAN"/>
                  </w:pPr>
                  <w:r w:rsidRPr="004A6830">
                    <w:rPr>
                      <w:rFonts w:ascii="Times New Roman" w:hAnsi="Times New Roman" w:cs="Times New Roman"/>
                      <w:lang w:val="en-AU"/>
                    </w:rPr>
                    <w:t>NOTE 2:</w:t>
                  </w:r>
                  <w:r w:rsidRPr="004A6830">
                    <w:rPr>
                      <w:rFonts w:ascii="Times New Roman" w:hAnsi="Times New Roman" w:cs="Times New Roman"/>
                    </w:rPr>
                    <w:t xml:space="preserve">   </w:t>
                  </w:r>
                  <w:r w:rsidRPr="004A6830">
                    <w:rPr>
                      <w:rFonts w:ascii="Times New Roman" w:hAnsi="Times New Roman" w:cs="Times New Roman"/>
                      <w:lang w:val="en-AU"/>
                    </w:rPr>
                    <w:t xml:space="preserve">When </w:t>
                  </w:r>
                  <w:r w:rsidRPr="004A6830">
                    <w:rPr>
                      <w:rFonts w:ascii="Times New Roman" w:hAnsi="Times New Roman" w:cs="Times New Roman"/>
                      <w:i/>
                      <w:iCs/>
                    </w:rPr>
                    <w:t>Tslmcot</w:t>
                  </w:r>
                  <w:r w:rsidRPr="004A6830">
                    <w:rPr>
                      <w:rFonts w:ascii="Times New Roman" w:hAnsi="Times New Roman" w:cs="Times New Roman"/>
                    </w:rPr>
                    <w:t>,</w:t>
                  </w:r>
                  <w:r w:rsidRPr="004A6830">
                    <w:rPr>
                      <w:rFonts w:ascii="Times New Roman" w:hAnsi="Times New Roman" w:cs="Times New Roman"/>
                      <w:i/>
                      <w:iCs/>
                    </w:rPr>
                    <w:t>p</w:t>
                  </w:r>
                  <w:r w:rsidRPr="004A6830">
                    <w:rPr>
                      <w:rFonts w:ascii="Times New Roman" w:hAnsi="Times New Roman" w:cs="Times New Roman"/>
                    </w:rPr>
                    <w:t>=6</w:t>
                  </w:r>
                  <w:r w:rsidRPr="004A6830">
                    <w:rPr>
                      <w:rFonts w:ascii="Times New Roman" w:hAnsi="Times New Roman" w:cs="Times New Roman"/>
                      <w:i/>
                      <w:iCs/>
                    </w:rPr>
                    <w:t>ms</w:t>
                  </w:r>
                  <w:r w:rsidRPr="004A6830">
                    <w:rPr>
                      <w:rFonts w:ascii="Times New Roman" w:hAnsi="Times New Roman" w:cs="Times New Roman"/>
                    </w:rPr>
                    <w:t xml:space="preserve"> it </w:t>
                  </w:r>
                  <w:r w:rsidRPr="004A6830">
                    <w:rPr>
                      <w:rFonts w:ascii="Times New Roman" w:hAnsi="Times New Roman" w:cs="Times New Roman"/>
                      <w:lang w:val="en-AU"/>
                    </w:rPr>
                    <w:t xml:space="preserve">may be increased to </w:t>
                  </w:r>
                  <w:r w:rsidRPr="004A6830">
                    <w:rPr>
                      <w:rFonts w:ascii="Times New Roman" w:hAnsi="Times New Roman" w:cs="Times New Roman"/>
                    </w:rPr>
                    <w:t>8</w:t>
                  </w:r>
                  <w:r w:rsidRPr="004A6830">
                    <w:rPr>
                      <w:rFonts w:ascii="Times New Roman" w:hAnsi="Times New Roman" w:cs="Times New Roman"/>
                      <w:i/>
                      <w:iCs/>
                    </w:rPr>
                    <w:t>ms</w:t>
                  </w:r>
                  <w:r w:rsidRPr="004A6830">
                    <w:rPr>
                      <w:rFonts w:ascii="Times New Roman" w:hAnsi="Times New Roman" w:cs="Times New Roman"/>
                    </w:rPr>
                    <w:t xml:space="preserve"> </w:t>
                  </w:r>
                  <w:r w:rsidRPr="004A6830">
                    <w:rPr>
                      <w:rFonts w:ascii="Times New Roman" w:hAnsi="Times New Roman" w:cs="Times New Roman"/>
                      <w:lang w:val="en-AU"/>
                    </w:rPr>
                    <w:t xml:space="preserve">by inserting one or more gaps. The minimum duration of a gap shall be </w:t>
                  </w:r>
                  <w:r w:rsidRPr="004A6830">
                    <w:rPr>
                      <w:rFonts w:ascii="Times New Roman" w:hAnsi="Times New Roman" w:cs="Times New Roman"/>
                    </w:rPr>
                    <w:t>100</w:t>
                  </w:r>
                  <w:r w:rsidRPr="004A6830">
                    <w:rPr>
                      <w:rFonts w:ascii="Times New Roman" w:hAnsi="Times New Roman" w:cs="Times New Roman"/>
                      <w:i/>
                      <w:iCs/>
                    </w:rPr>
                    <w:t>μs</w:t>
                  </w:r>
                  <w:r w:rsidRPr="004A6830">
                    <w:rPr>
                      <w:rFonts w:ascii="Times New Roman" w:hAnsi="Times New Roman" w:cs="Times New Roman"/>
                      <w:lang w:val="en-AU"/>
                    </w:rPr>
                    <w:t xml:space="preserve">. The maximum duration before including any such gap shall be </w:t>
                  </w:r>
                  <w:r w:rsidRPr="004A6830">
                    <w:rPr>
                      <w:rFonts w:ascii="Times New Roman" w:hAnsi="Times New Roman" w:cs="Times New Roman"/>
                    </w:rPr>
                    <w:t>6</w:t>
                  </w:r>
                  <w:r w:rsidRPr="004A6830">
                    <w:rPr>
                      <w:rFonts w:ascii="Times New Roman" w:hAnsi="Times New Roman" w:cs="Times New Roman"/>
                      <w:i/>
                      <w:iCs/>
                    </w:rPr>
                    <w:t>ms</w:t>
                  </w:r>
                  <w:r w:rsidRPr="004A6830">
                    <w:rPr>
                      <w:rFonts w:ascii="Times New Roman" w:hAnsi="Times New Roman" w:cs="Times New Roman"/>
                      <w:lang w:val="en-AU"/>
                    </w:rPr>
                    <w:t>.</w:t>
                  </w:r>
                  <w:r>
                    <w:rPr>
                      <w:lang w:val="en-AU"/>
                    </w:rPr>
                    <w:t xml:space="preserve"> </w:t>
                  </w:r>
                </w:p>
              </w:tc>
            </w:tr>
          </w:tbl>
          <w:p w14:paraId="6248326F" w14:textId="77777777" w:rsidR="0043094C" w:rsidRDefault="0043094C" w:rsidP="0026191F">
            <w:pPr>
              <w:jc w:val="both"/>
              <w:rPr>
                <w:lang w:eastAsia="ja-JP"/>
              </w:rPr>
            </w:pPr>
          </w:p>
        </w:tc>
      </w:tr>
    </w:tbl>
    <w:p w14:paraId="2881ECBE" w14:textId="2CDBD056" w:rsidR="00E7665E" w:rsidRDefault="00E7665E" w:rsidP="0032676F">
      <w:pPr>
        <w:spacing w:before="240"/>
        <w:jc w:val="both"/>
        <w:rPr>
          <w:lang w:eastAsia="ja-JP"/>
        </w:rPr>
      </w:pPr>
      <w:r>
        <w:rPr>
          <w:lang w:eastAsia="ja-JP"/>
        </w:rPr>
        <w:t xml:space="preserve">For the case of </w:t>
      </w:r>
      <w:r w:rsidRPr="006E4E14">
        <w:rPr>
          <w:i/>
          <w:lang w:eastAsia="ja-JP"/>
        </w:rPr>
        <w:t>mp</w:t>
      </w:r>
      <w:r>
        <w:rPr>
          <w:lang w:eastAsia="ja-JP"/>
        </w:rPr>
        <w:t xml:space="preserve"> = 1 and </w:t>
      </w:r>
      <w:r w:rsidRPr="006E4E14">
        <w:rPr>
          <w:i/>
          <w:lang w:eastAsia="ja-JP"/>
        </w:rPr>
        <w:t>p</w:t>
      </w:r>
      <w:r>
        <w:rPr>
          <w:lang w:eastAsia="ja-JP"/>
        </w:rPr>
        <w:t xml:space="preserve"> = 1, in our view we should follow the agreed table and do not create any additional case which was not consider</w:t>
      </w:r>
      <w:r w:rsidR="000B6682">
        <w:rPr>
          <w:lang w:eastAsia="ja-JP"/>
        </w:rPr>
        <w:t>ed</w:t>
      </w:r>
      <w:r>
        <w:rPr>
          <w:lang w:eastAsia="ja-JP"/>
        </w:rPr>
        <w:t xml:space="preserve"> </w:t>
      </w:r>
      <w:r w:rsidR="000B6682">
        <w:rPr>
          <w:lang w:eastAsia="ja-JP"/>
        </w:rPr>
        <w:t>in</w:t>
      </w:r>
      <w:r>
        <w:rPr>
          <w:lang w:eastAsia="ja-JP"/>
        </w:rPr>
        <w:t xml:space="preserve"> NR-U. Moreover, we do not see the need on applicable use cases to have any exceptional case.</w:t>
      </w:r>
    </w:p>
    <w:p w14:paraId="721B3526" w14:textId="07D44FC8" w:rsidR="00E7665E" w:rsidRPr="00CC75F4" w:rsidRDefault="00E7665E" w:rsidP="006E4E14">
      <w:pPr>
        <w:pStyle w:val="Proposal"/>
      </w:pPr>
      <w:bookmarkStart w:id="6" w:name="_Toc127544544"/>
      <w:r>
        <w:t xml:space="preserve">Do not include any additional case which is not already included in the table adopted </w:t>
      </w:r>
      <w:r w:rsidR="009609C8">
        <w:t xml:space="preserve">of </w:t>
      </w:r>
      <w:r>
        <w:t>CAPC for SL.</w:t>
      </w:r>
      <w:bookmarkEnd w:id="6"/>
    </w:p>
    <w:p w14:paraId="1F261A4F" w14:textId="1DC19E62" w:rsidR="00362E03" w:rsidRDefault="00362E03" w:rsidP="007B603C">
      <w:pPr>
        <w:pStyle w:val="Heading2"/>
      </w:pPr>
      <w:r>
        <w:t>2.1</w:t>
      </w:r>
      <w:r>
        <w:tab/>
        <w:t>COT sharing and enhancements to GP</w:t>
      </w:r>
    </w:p>
    <w:p w14:paraId="42088F5A" w14:textId="77777777" w:rsidR="00E4104E" w:rsidRDefault="00E4104E" w:rsidP="00E4104E">
      <w:pPr>
        <w:pStyle w:val="BodyText"/>
        <w:spacing w:before="240"/>
      </w:pPr>
      <w:r>
        <w:t>The following agreements were made in RAN1#109:</w:t>
      </w:r>
    </w:p>
    <w:tbl>
      <w:tblPr>
        <w:tblStyle w:val="TableGrid"/>
        <w:tblW w:w="0" w:type="auto"/>
        <w:tblLook w:val="04A0" w:firstRow="1" w:lastRow="0" w:firstColumn="1" w:lastColumn="0" w:noHBand="0" w:noVBand="1"/>
      </w:tblPr>
      <w:tblGrid>
        <w:gridCol w:w="9629"/>
      </w:tblGrid>
      <w:tr w:rsidR="00331C1F" w14:paraId="017EF39B" w14:textId="77777777" w:rsidTr="002A2D64">
        <w:tc>
          <w:tcPr>
            <w:tcW w:w="9629" w:type="dxa"/>
          </w:tcPr>
          <w:p w14:paraId="39B04833" w14:textId="77777777" w:rsidR="00E4104E" w:rsidRPr="0032676F" w:rsidRDefault="00E4104E" w:rsidP="0032676F">
            <w:pPr>
              <w:autoSpaceDE w:val="0"/>
              <w:autoSpaceDN w:val="0"/>
              <w:spacing w:before="120"/>
              <w:jc w:val="both"/>
              <w:rPr>
                <w:rFonts w:ascii="Times New Roman" w:eastAsia="Batang" w:hAnsi="Times New Roman" w:cs="Times New Roman"/>
                <w:b/>
                <w:sz w:val="20"/>
                <w:szCs w:val="20"/>
                <w:highlight w:val="green"/>
                <w:lang w:val="en-GB"/>
              </w:rPr>
            </w:pPr>
            <w:r w:rsidRPr="0032676F">
              <w:rPr>
                <w:rFonts w:ascii="Times New Roman" w:eastAsia="Batang" w:hAnsi="Times New Roman" w:cs="Times New Roman"/>
                <w:b/>
                <w:szCs w:val="20"/>
                <w:highlight w:val="green"/>
                <w:lang w:val="en-GB"/>
              </w:rPr>
              <w:t>Agreement</w:t>
            </w:r>
          </w:p>
          <w:p w14:paraId="3ACE93A3" w14:textId="77777777" w:rsidR="00E4104E" w:rsidRPr="00BB7FB8" w:rsidRDefault="00E4104E" w:rsidP="002A2D64">
            <w:pPr>
              <w:numPr>
                <w:ilvl w:val="0"/>
                <w:numId w:val="27"/>
              </w:numPr>
              <w:autoSpaceDE w:val="0"/>
              <w:autoSpaceDN w:val="0"/>
              <w:spacing w:after="0" w:line="240" w:lineRule="auto"/>
              <w:jc w:val="both"/>
              <w:rPr>
                <w:rFonts w:ascii="Times" w:eastAsia="Batang" w:hAnsi="Times" w:cs="Times"/>
                <w:sz w:val="20"/>
                <w:szCs w:val="24"/>
                <w:lang w:val="en-GB" w:eastAsia="x-none"/>
              </w:rPr>
            </w:pPr>
            <w:r w:rsidRPr="00BB7FB8">
              <w:rPr>
                <w:rFonts w:ascii="Times" w:eastAsia="Batang" w:hAnsi="Times" w:cs="Times"/>
                <w:sz w:val="20"/>
                <w:szCs w:val="24"/>
                <w:lang w:val="en-GB" w:eastAsia="x-none"/>
              </w:rPr>
              <w:t>UE-to-UE COT sharing is supported in NR sidelink operation in a shared channel (SL-U).</w:t>
            </w:r>
          </w:p>
          <w:p w14:paraId="22029627" w14:textId="77777777" w:rsidR="00E4104E" w:rsidRPr="00BB7FB8" w:rsidRDefault="00E4104E" w:rsidP="002A2D64">
            <w:pPr>
              <w:numPr>
                <w:ilvl w:val="1"/>
                <w:numId w:val="27"/>
              </w:numPr>
              <w:autoSpaceDE w:val="0"/>
              <w:autoSpaceDN w:val="0"/>
              <w:spacing w:after="0" w:line="240" w:lineRule="auto"/>
              <w:jc w:val="both"/>
              <w:rPr>
                <w:rFonts w:ascii="Times" w:eastAsia="Batang" w:hAnsi="Times" w:cs="Times"/>
                <w:sz w:val="20"/>
                <w:szCs w:val="24"/>
                <w:lang w:val="en-GB" w:eastAsia="x-none"/>
              </w:rPr>
            </w:pPr>
            <w:r w:rsidRPr="00BB7FB8">
              <w:rPr>
                <w:rFonts w:ascii="Times" w:eastAsia="Batang" w:hAnsi="Times" w:cs="Times"/>
                <w:sz w:val="20"/>
                <w:szCs w:val="24"/>
                <w:lang w:val="en-GB" w:eastAsia="x-none"/>
              </w:rPr>
              <w:t>FFS applicable SL channels and signals (e.g., PSCCH/PSSCH, PSFCH, S-SSB) for shared COT access and any restrictions (e.g. whether the COT can be shared with a single UE or multiple UEs)</w:t>
            </w:r>
          </w:p>
          <w:p w14:paraId="58472A03" w14:textId="77777777" w:rsidR="00E4104E" w:rsidRPr="00BB7FB8" w:rsidRDefault="00E4104E" w:rsidP="002A2D64">
            <w:pPr>
              <w:numPr>
                <w:ilvl w:val="1"/>
                <w:numId w:val="27"/>
              </w:numPr>
              <w:autoSpaceDE w:val="0"/>
              <w:autoSpaceDN w:val="0"/>
              <w:spacing w:after="0" w:line="240" w:lineRule="auto"/>
              <w:jc w:val="both"/>
              <w:rPr>
                <w:rFonts w:ascii="Times" w:eastAsia="Batang" w:hAnsi="Times" w:cs="Times"/>
                <w:sz w:val="20"/>
                <w:szCs w:val="24"/>
                <w:lang w:val="en-GB" w:eastAsia="x-none"/>
              </w:rPr>
            </w:pPr>
            <w:r w:rsidRPr="00BB7FB8">
              <w:rPr>
                <w:rFonts w:ascii="Times" w:eastAsia="Batang" w:hAnsi="Times" w:cs="Times"/>
                <w:sz w:val="20"/>
                <w:szCs w:val="24"/>
                <w:lang w:val="en-GB" w:eastAsia="x-none"/>
              </w:rPr>
              <w:t>FFS all other details in compliance with the regulatory requiremen</w:t>
            </w:r>
            <w:r w:rsidRPr="002F6561">
              <w:rPr>
                <w:rFonts w:ascii="Times" w:eastAsia="Batang" w:hAnsi="Times" w:cs="Times"/>
                <w:sz w:val="20"/>
                <w:szCs w:val="24"/>
                <w:lang w:val="en-GB" w:eastAsia="x-none"/>
              </w:rPr>
              <w:t>ts</w:t>
            </w:r>
          </w:p>
          <w:p w14:paraId="3D2398BF" w14:textId="77777777" w:rsidR="00E4104E" w:rsidRPr="00BB7FB8" w:rsidRDefault="00E4104E" w:rsidP="002A2D64">
            <w:pPr>
              <w:numPr>
                <w:ilvl w:val="0"/>
                <w:numId w:val="27"/>
              </w:numPr>
              <w:autoSpaceDE w:val="0"/>
              <w:autoSpaceDN w:val="0"/>
              <w:spacing w:after="0" w:line="240" w:lineRule="auto"/>
              <w:jc w:val="both"/>
              <w:rPr>
                <w:rFonts w:ascii="Times" w:eastAsia="Batang" w:hAnsi="Times" w:cs="Times"/>
                <w:sz w:val="20"/>
                <w:szCs w:val="24"/>
                <w:lang w:val="en-GB" w:eastAsia="x-none"/>
              </w:rPr>
            </w:pPr>
            <w:r w:rsidRPr="00BB7FB8">
              <w:rPr>
                <w:rFonts w:ascii="Times" w:eastAsia="Batang" w:hAnsi="Times" w:cs="Times"/>
                <w:sz w:val="20"/>
                <w:lang w:val="en-GB" w:eastAsia="x-none"/>
              </w:rPr>
              <w:t>CP extension (CPE)</w:t>
            </w:r>
            <w:r w:rsidRPr="00BB7FB8">
              <w:rPr>
                <w:rFonts w:ascii="Times" w:eastAsia="Batang" w:hAnsi="Times" w:cs="Times"/>
                <w:color w:val="000000"/>
                <w:sz w:val="20"/>
                <w:lang w:val="en-GB" w:eastAsia="x-none"/>
              </w:rPr>
              <w:t xml:space="preserve"> is supported </w:t>
            </w:r>
            <w:r w:rsidRPr="00BB7FB8">
              <w:rPr>
                <w:rFonts w:ascii="Times" w:eastAsia="Batang" w:hAnsi="Times" w:cs="Times"/>
                <w:sz w:val="20"/>
                <w:szCs w:val="24"/>
                <w:lang w:val="en-GB" w:eastAsia="x-none"/>
              </w:rPr>
              <w:t>for NR sidelink operation in a shared channel.</w:t>
            </w:r>
          </w:p>
          <w:p w14:paraId="3E8E4FF6" w14:textId="2853AE28" w:rsidR="00E4104E" w:rsidRPr="00CC75F4" w:rsidRDefault="00E4104E" w:rsidP="00CC75F4">
            <w:pPr>
              <w:numPr>
                <w:ilvl w:val="1"/>
                <w:numId w:val="27"/>
              </w:numPr>
              <w:autoSpaceDE w:val="0"/>
              <w:autoSpaceDN w:val="0"/>
              <w:spacing w:line="240" w:lineRule="auto"/>
              <w:jc w:val="both"/>
              <w:rPr>
                <w:rFonts w:ascii="Times" w:eastAsia="Batang" w:hAnsi="Times" w:cs="Times"/>
                <w:color w:val="000000"/>
                <w:sz w:val="20"/>
                <w:szCs w:val="24"/>
                <w:lang w:val="en-GB" w:eastAsia="x-none"/>
              </w:rPr>
            </w:pPr>
            <w:r w:rsidRPr="00BB7FB8">
              <w:rPr>
                <w:rFonts w:ascii="Times" w:eastAsia="Batang" w:hAnsi="Times" w:cs="Times"/>
                <w:color w:val="000000"/>
                <w:sz w:val="20"/>
                <w:szCs w:val="24"/>
                <w:lang w:val="en-GB" w:eastAsia="x-none"/>
              </w:rPr>
              <w:t>FFS all remaining details including applicable scenarios, usage, PHY structure, etc.</w:t>
            </w:r>
          </w:p>
        </w:tc>
      </w:tr>
    </w:tbl>
    <w:p w14:paraId="33AD078E" w14:textId="19A673F0" w:rsidR="00FB6F6C" w:rsidRDefault="00FB6F6C" w:rsidP="00CC75F4">
      <w:pPr>
        <w:pStyle w:val="Heading3"/>
      </w:pPr>
      <w:r>
        <w:t>2.1.1</w:t>
      </w:r>
      <w:r>
        <w:tab/>
      </w:r>
      <w:r w:rsidR="004E7154" w:rsidRPr="00D212D7">
        <w:t xml:space="preserve">UE-to-UE </w:t>
      </w:r>
      <w:r w:rsidRPr="00D212D7">
        <w:t xml:space="preserve">COT sharing </w:t>
      </w:r>
      <w:r w:rsidR="004E7154" w:rsidRPr="00D212D7">
        <w:t>framework</w:t>
      </w:r>
    </w:p>
    <w:p w14:paraId="21BA83DF" w14:textId="31BF55B3" w:rsidR="00644E25" w:rsidRPr="00E006F7" w:rsidRDefault="00644E25" w:rsidP="00E006F7">
      <w:pPr>
        <w:rPr>
          <w:lang w:val="en-GB" w:eastAsia="ja-JP"/>
        </w:rPr>
      </w:pPr>
      <w:r>
        <w:t>The following agreements were made during RAN1#111 regarding the UE-to-UE COT sharing:</w:t>
      </w:r>
    </w:p>
    <w:tbl>
      <w:tblPr>
        <w:tblStyle w:val="TableGrid"/>
        <w:tblW w:w="0" w:type="auto"/>
        <w:tblLook w:val="04A0" w:firstRow="1" w:lastRow="0" w:firstColumn="1" w:lastColumn="0" w:noHBand="0" w:noVBand="1"/>
      </w:tblPr>
      <w:tblGrid>
        <w:gridCol w:w="9629"/>
      </w:tblGrid>
      <w:tr w:rsidR="000F472D" w14:paraId="6D2ECD4C" w14:textId="77777777" w:rsidTr="000F472D">
        <w:tc>
          <w:tcPr>
            <w:tcW w:w="9629" w:type="dxa"/>
          </w:tcPr>
          <w:p w14:paraId="600DEE1A" w14:textId="44467F8C" w:rsidR="000F472D" w:rsidRPr="00B10A04" w:rsidRDefault="000F472D" w:rsidP="000F472D">
            <w:pPr>
              <w:autoSpaceDE w:val="0"/>
              <w:autoSpaceDN w:val="0"/>
              <w:spacing w:before="120"/>
              <w:jc w:val="both"/>
              <w:rPr>
                <w:rFonts w:ascii="Times New Roman" w:eastAsia="Batang" w:hAnsi="Times New Roman" w:cs="Times New Roman"/>
                <w:sz w:val="20"/>
                <w:szCs w:val="20"/>
                <w:lang w:val="en-GB"/>
              </w:rPr>
            </w:pPr>
            <w:r w:rsidRPr="00B10A04">
              <w:rPr>
                <w:rFonts w:ascii="Times New Roman" w:eastAsia="Batang" w:hAnsi="Times New Roman" w:cs="Times New Roman"/>
                <w:b/>
                <w:bCs/>
                <w:sz w:val="20"/>
                <w:szCs w:val="20"/>
                <w:highlight w:val="green"/>
                <w:lang w:val="en-GB"/>
              </w:rPr>
              <w:t>Agreement</w:t>
            </w:r>
          </w:p>
          <w:p w14:paraId="11743729" w14:textId="77777777" w:rsidR="000F472D" w:rsidRPr="00B10A04" w:rsidRDefault="000F472D" w:rsidP="000F472D">
            <w:pPr>
              <w:tabs>
                <w:tab w:val="left" w:pos="720"/>
              </w:tabs>
              <w:jc w:val="both"/>
              <w:rPr>
                <w:rFonts w:ascii="Times New Roman" w:eastAsia="Malgun Gothic" w:hAnsi="Times New Roman" w:cs="Times New Roman"/>
                <w:sz w:val="20"/>
                <w:szCs w:val="20"/>
              </w:rPr>
            </w:pPr>
            <w:r w:rsidRPr="00B10A04">
              <w:rPr>
                <w:rFonts w:ascii="Times New Roman" w:eastAsia="Malgun Gothic" w:hAnsi="Times New Roman" w:cs="Times New Roman"/>
                <w:sz w:val="20"/>
                <w:szCs w:val="20"/>
                <w:lang w:val="en-AU"/>
              </w:rPr>
              <w:t>For UE-to-UE COT sharing,</w:t>
            </w:r>
          </w:p>
          <w:p w14:paraId="3274DFF6" w14:textId="77777777" w:rsidR="000F472D" w:rsidRPr="005426B2" w:rsidRDefault="000F472D" w:rsidP="000F472D">
            <w:pPr>
              <w:numPr>
                <w:ilvl w:val="0"/>
                <w:numId w:val="27"/>
              </w:numPr>
              <w:spacing w:after="0" w:line="240" w:lineRule="auto"/>
              <w:jc w:val="both"/>
              <w:rPr>
                <w:rFonts w:ascii="Times New Roman" w:eastAsia="Malgun Gothic" w:hAnsi="Times New Roman" w:cs="Times New Roman"/>
                <w:color w:val="000000"/>
                <w:sz w:val="20"/>
                <w:szCs w:val="20"/>
              </w:rPr>
            </w:pPr>
            <w:r w:rsidRPr="00B10A04">
              <w:rPr>
                <w:rFonts w:ascii="Times New Roman" w:eastAsia="Malgun Gothic" w:hAnsi="Times New Roman" w:cs="Times New Roman"/>
                <w:color w:val="000000"/>
                <w:sz w:val="20"/>
                <w:szCs w:val="20"/>
                <w:lang w:val="en-GB"/>
              </w:rPr>
              <w:lastRenderedPageBreak/>
              <w:t xml:space="preserve">When performing S-SSB transmission(s), a responding UE can utilize a COT shared by a COT initiating UE (using type 1 channel access) when the responding UE is intended to transmit S-SSB within RB set(s) corresponding to the shared </w:t>
            </w:r>
            <w:r w:rsidRPr="005426B2">
              <w:rPr>
                <w:rFonts w:ascii="Times New Roman" w:eastAsia="Malgun Gothic" w:hAnsi="Times New Roman" w:cs="Times New Roman"/>
                <w:color w:val="000000"/>
                <w:sz w:val="20"/>
                <w:szCs w:val="20"/>
                <w:lang w:val="en-GB"/>
              </w:rPr>
              <w:t xml:space="preserve">COT. </w:t>
            </w:r>
          </w:p>
          <w:p w14:paraId="48C09F75" w14:textId="77777777" w:rsidR="000F472D" w:rsidRPr="00B10A04" w:rsidRDefault="000F472D" w:rsidP="000F472D">
            <w:pPr>
              <w:numPr>
                <w:ilvl w:val="0"/>
                <w:numId w:val="27"/>
              </w:numPr>
              <w:spacing w:after="0" w:line="240" w:lineRule="auto"/>
              <w:jc w:val="both"/>
              <w:rPr>
                <w:rFonts w:ascii="Times New Roman" w:eastAsia="Malgun Gothic" w:hAnsi="Times New Roman" w:cs="Times New Roman"/>
                <w:color w:val="000000"/>
                <w:sz w:val="20"/>
                <w:szCs w:val="20"/>
              </w:rPr>
            </w:pPr>
            <w:r w:rsidRPr="005426B2">
              <w:rPr>
                <w:rFonts w:ascii="Times New Roman" w:eastAsia="Malgun Gothic" w:hAnsi="Times New Roman" w:cs="Times New Roman"/>
                <w:color w:val="000000"/>
                <w:sz w:val="20"/>
                <w:szCs w:val="20"/>
                <w:lang w:val="en-GB"/>
              </w:rPr>
              <w:t>When</w:t>
            </w:r>
            <w:r w:rsidRPr="00B10A04">
              <w:rPr>
                <w:rFonts w:ascii="Times New Roman" w:eastAsia="Malgun Gothic" w:hAnsi="Times New Roman" w:cs="Times New Roman"/>
                <w:color w:val="000000"/>
                <w:sz w:val="20"/>
                <w:szCs w:val="20"/>
                <w:lang w:val="en-GB"/>
              </w:rPr>
              <w:t xml:space="preserve"> performing PSFCH transmission(s), a responding UE can utilize a COT shared by a COT initiating UE at least when at least one of the responding UE’s PSFCH transmissions in a symbol/slot within RB set(s) corresponding to the shared COT is intended for the COT initiating UE.</w:t>
            </w:r>
          </w:p>
          <w:p w14:paraId="20B22319" w14:textId="77777777" w:rsidR="000F472D" w:rsidRPr="00B10A04" w:rsidRDefault="000F472D" w:rsidP="000F472D">
            <w:pPr>
              <w:numPr>
                <w:ilvl w:val="1"/>
                <w:numId w:val="27"/>
              </w:numPr>
              <w:tabs>
                <w:tab w:val="left" w:pos="2160"/>
              </w:tabs>
              <w:spacing w:after="0" w:line="240" w:lineRule="auto"/>
              <w:jc w:val="both"/>
              <w:rPr>
                <w:rFonts w:ascii="Times New Roman" w:eastAsia="Malgun Gothic" w:hAnsi="Times New Roman" w:cs="Times New Roman"/>
                <w:color w:val="000000"/>
                <w:sz w:val="20"/>
                <w:szCs w:val="20"/>
              </w:rPr>
            </w:pPr>
            <w:r w:rsidRPr="00B10A04">
              <w:rPr>
                <w:rFonts w:ascii="Times New Roman" w:eastAsia="Malgun Gothic" w:hAnsi="Times New Roman" w:cs="Times New Roman"/>
                <w:color w:val="000000"/>
                <w:sz w:val="20"/>
                <w:szCs w:val="20"/>
                <w:lang w:val="en-GB"/>
              </w:rPr>
              <w:t>FFS: whether a responding UE can transmit PSFCH(s) to UE(s) other than the initiator</w:t>
            </w:r>
          </w:p>
          <w:p w14:paraId="6CF93685" w14:textId="77777777" w:rsidR="000F472D" w:rsidRPr="00B10A04" w:rsidRDefault="000F472D" w:rsidP="000F472D">
            <w:pPr>
              <w:numPr>
                <w:ilvl w:val="0"/>
                <w:numId w:val="27"/>
              </w:numPr>
              <w:spacing w:after="0" w:line="240" w:lineRule="auto"/>
              <w:jc w:val="both"/>
              <w:rPr>
                <w:rFonts w:ascii="Times New Roman" w:eastAsia="Malgun Gothic" w:hAnsi="Times New Roman" w:cs="Times New Roman"/>
                <w:color w:val="000000"/>
                <w:sz w:val="20"/>
                <w:szCs w:val="20"/>
              </w:rPr>
            </w:pPr>
            <w:r w:rsidRPr="00B10A04">
              <w:rPr>
                <w:rFonts w:ascii="Times New Roman" w:eastAsia="Malgun Gothic" w:hAnsi="Times New Roman" w:cs="Times New Roman"/>
                <w:color w:val="000000"/>
                <w:sz w:val="20"/>
                <w:szCs w:val="20"/>
                <w:lang w:val="en-GB"/>
              </w:rPr>
              <w:t>When performing PSSCH/PSCCH transmission(s), a responding UE can utilize a COT shared by a COT initiating UE at least when the responding UE’s PSSCH/PSCCH transmission(s) within RB set(s) corresponding to the shared COT is intended for the COT initiating UE</w:t>
            </w:r>
          </w:p>
          <w:p w14:paraId="2FAD6E40" w14:textId="77777777" w:rsidR="000F472D" w:rsidRPr="00B10A04" w:rsidRDefault="000F472D" w:rsidP="000F472D">
            <w:pPr>
              <w:numPr>
                <w:ilvl w:val="1"/>
                <w:numId w:val="27"/>
              </w:numPr>
              <w:tabs>
                <w:tab w:val="left" w:pos="2160"/>
              </w:tabs>
              <w:spacing w:after="0" w:line="240" w:lineRule="auto"/>
              <w:jc w:val="both"/>
              <w:rPr>
                <w:rFonts w:ascii="Times New Roman" w:eastAsia="Malgun Gothic" w:hAnsi="Times New Roman" w:cs="Times New Roman"/>
                <w:color w:val="000000"/>
                <w:sz w:val="20"/>
                <w:szCs w:val="20"/>
              </w:rPr>
            </w:pPr>
            <w:r w:rsidRPr="00B10A04">
              <w:rPr>
                <w:rFonts w:ascii="Times New Roman" w:eastAsia="Malgun Gothic" w:hAnsi="Times New Roman" w:cs="Times New Roman"/>
                <w:color w:val="000000"/>
                <w:sz w:val="20"/>
                <w:szCs w:val="20"/>
                <w:lang w:val="en-GB"/>
              </w:rPr>
              <w:t>FFS whether to support the case if a responding UE transmits PSSCH/PSCCH to destination ID other than the source ID of the COT initiating transmission, where the destination ID of the responding UE’s PSSCH/PSCCH transmission(s) can be different from the source/destination IDs of COT initiating UE’s PSSCH/PSCCH transmission when sharing the COT information.</w:t>
            </w:r>
          </w:p>
          <w:p w14:paraId="2B6B5050" w14:textId="77777777" w:rsidR="000F472D" w:rsidRPr="00B10A04" w:rsidRDefault="000F472D" w:rsidP="000F472D">
            <w:pPr>
              <w:numPr>
                <w:ilvl w:val="2"/>
                <w:numId w:val="27"/>
              </w:numPr>
              <w:tabs>
                <w:tab w:val="left" w:pos="2880"/>
              </w:tabs>
              <w:spacing w:after="0" w:line="240" w:lineRule="auto"/>
              <w:jc w:val="both"/>
              <w:rPr>
                <w:rFonts w:ascii="Times New Roman" w:eastAsia="Malgun Gothic" w:hAnsi="Times New Roman" w:cs="Times New Roman"/>
                <w:color w:val="000000"/>
                <w:sz w:val="20"/>
                <w:szCs w:val="20"/>
              </w:rPr>
            </w:pPr>
            <w:r w:rsidRPr="00B10A04">
              <w:rPr>
                <w:rFonts w:ascii="Times New Roman" w:eastAsia="Malgun Gothic" w:hAnsi="Times New Roman" w:cs="Times New Roman"/>
                <w:color w:val="000000"/>
                <w:sz w:val="20"/>
                <w:szCs w:val="20"/>
                <w:lang w:val="en-GB"/>
              </w:rPr>
              <w:t>FFS: how to determine / what are the restrictions to the destination ID of the responding UE’s PSSCH/PSCCH transmission(s) to utilize the COT shared by the initiating UE.</w:t>
            </w:r>
          </w:p>
          <w:p w14:paraId="4EF4D657" w14:textId="77777777" w:rsidR="000F472D" w:rsidRPr="00B10A04" w:rsidRDefault="000F472D" w:rsidP="000F472D">
            <w:pPr>
              <w:numPr>
                <w:ilvl w:val="2"/>
                <w:numId w:val="27"/>
              </w:numPr>
              <w:tabs>
                <w:tab w:val="left" w:pos="2880"/>
              </w:tabs>
              <w:spacing w:after="0" w:line="240" w:lineRule="auto"/>
              <w:jc w:val="both"/>
              <w:rPr>
                <w:rFonts w:ascii="Times New Roman" w:eastAsia="Malgun Gothic" w:hAnsi="Times New Roman" w:cs="Times New Roman"/>
                <w:color w:val="000000"/>
                <w:sz w:val="20"/>
                <w:szCs w:val="20"/>
              </w:rPr>
            </w:pPr>
            <w:r w:rsidRPr="00B10A04">
              <w:rPr>
                <w:rFonts w:ascii="Times New Roman" w:eastAsia="Malgun Gothic" w:hAnsi="Times New Roman" w:cs="Times New Roman"/>
                <w:color w:val="000000"/>
                <w:sz w:val="20"/>
                <w:szCs w:val="20"/>
              </w:rPr>
              <w:t>FFS whether the responding UE can utilize the COT when at least the responding UE’s PSCCH transmission in the reserved resources within the shared COT or MCSt is intended for the COT initiating UE and what are the restrictions (e.g., priority, etc.) and indication to the responding UE.</w:t>
            </w:r>
          </w:p>
          <w:p w14:paraId="224FDF1B" w14:textId="780A714E" w:rsidR="000F472D" w:rsidRPr="00E006F7" w:rsidRDefault="000F472D" w:rsidP="00E006F7">
            <w:pPr>
              <w:numPr>
                <w:ilvl w:val="0"/>
                <w:numId w:val="27"/>
              </w:numPr>
              <w:autoSpaceDE w:val="0"/>
              <w:autoSpaceDN w:val="0"/>
              <w:spacing w:line="240" w:lineRule="auto"/>
              <w:jc w:val="both"/>
              <w:rPr>
                <w:sz w:val="20"/>
              </w:rPr>
            </w:pPr>
            <w:r w:rsidRPr="00361CEC">
              <w:rPr>
                <w:rFonts w:ascii="Times New Roman" w:eastAsia="Malgun Gothic" w:hAnsi="Times New Roman" w:cs="Times New Roman"/>
                <w:color w:val="000000"/>
                <w:sz w:val="20"/>
                <w:szCs w:val="20"/>
                <w:lang w:val="en-GB"/>
              </w:rPr>
              <w:t>FFS: UE forwarding/relaying information about a COT initiated by another UE.</w:t>
            </w:r>
          </w:p>
        </w:tc>
      </w:tr>
    </w:tbl>
    <w:p w14:paraId="14E9F40D" w14:textId="379034A8" w:rsidR="00644E25" w:rsidRDefault="004E7154" w:rsidP="00CC75F4">
      <w:pPr>
        <w:spacing w:before="240"/>
        <w:jc w:val="both"/>
        <w:rPr>
          <w:lang w:eastAsia="ja-JP"/>
        </w:rPr>
      </w:pPr>
      <w:r>
        <w:rPr>
          <w:lang w:eastAsia="ja-JP"/>
        </w:rPr>
        <w:lastRenderedPageBreak/>
        <w:t>As indicated above the agreements regarding UE-to-UE COT</w:t>
      </w:r>
      <w:r w:rsidR="008518A7">
        <w:rPr>
          <w:lang w:eastAsia="ja-JP"/>
        </w:rPr>
        <w:t xml:space="preserve"> sharing</w:t>
      </w:r>
      <w:r w:rsidR="00644E25">
        <w:rPr>
          <w:lang w:eastAsia="ja-JP"/>
        </w:rPr>
        <w:t>, the framework has been divided into three parts with respect to the PHY channel transmission, i.e., S-SSB, PSFCH and PSSCH/PSCCH. For the case of PSFCH, we have the following scenario:</w:t>
      </w:r>
    </w:p>
    <w:p w14:paraId="28DAC169" w14:textId="77777777" w:rsidR="00644E25" w:rsidRDefault="00644E25" w:rsidP="00E006F7">
      <w:pPr>
        <w:keepNext/>
        <w:spacing w:before="240"/>
        <w:jc w:val="center"/>
      </w:pPr>
      <w:r>
        <w:rPr>
          <w:noProof/>
          <w:lang w:eastAsia="ja-JP"/>
        </w:rPr>
        <w:drawing>
          <wp:inline distT="0" distB="0" distL="0" distR="0" wp14:anchorId="3FD5CD57" wp14:editId="520B6B74">
            <wp:extent cx="3082786" cy="215449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00830" cy="2167107"/>
                    </a:xfrm>
                    <a:prstGeom prst="rect">
                      <a:avLst/>
                    </a:prstGeom>
                    <a:noFill/>
                  </pic:spPr>
                </pic:pic>
              </a:graphicData>
            </a:graphic>
          </wp:inline>
        </w:drawing>
      </w:r>
    </w:p>
    <w:p w14:paraId="28B1CF87" w14:textId="63016150" w:rsidR="00644E25" w:rsidRDefault="00644E25" w:rsidP="00E006F7">
      <w:pPr>
        <w:pStyle w:val="Caption"/>
        <w:jc w:val="center"/>
        <w:rPr>
          <w:lang w:eastAsia="ja-JP"/>
        </w:rPr>
      </w:pPr>
      <w:r>
        <w:t xml:space="preserve">Figure </w:t>
      </w:r>
      <w:r>
        <w:fldChar w:fldCharType="begin"/>
      </w:r>
      <w:r>
        <w:instrText xml:space="preserve"> SEQ Figure \* ARABIC </w:instrText>
      </w:r>
      <w:r>
        <w:fldChar w:fldCharType="separate"/>
      </w:r>
      <w:r w:rsidR="00466B55">
        <w:rPr>
          <w:noProof/>
        </w:rPr>
        <w:t>1</w:t>
      </w:r>
      <w:r>
        <w:fldChar w:fldCharType="end"/>
      </w:r>
      <w:r>
        <w:t>: UE-to-UE COT</w:t>
      </w:r>
      <w:r w:rsidR="004E7154">
        <w:t xml:space="preserve"> sharing </w:t>
      </w:r>
      <w:r>
        <w:t>for PSFCH</w:t>
      </w:r>
      <w:r w:rsidR="005B7881">
        <w:t xml:space="preserve"> transmissions</w:t>
      </w:r>
    </w:p>
    <w:p w14:paraId="5B00FB5A" w14:textId="17487938" w:rsidR="00644E25" w:rsidRDefault="00644E25" w:rsidP="00CC75F4">
      <w:pPr>
        <w:spacing w:before="240"/>
        <w:jc w:val="both"/>
        <w:rPr>
          <w:lang w:eastAsia="ja-JP"/>
        </w:rPr>
      </w:pPr>
      <w:r>
        <w:rPr>
          <w:lang w:eastAsia="ja-JP"/>
        </w:rPr>
        <w:t>In this case</w:t>
      </w:r>
      <w:r w:rsidR="00CA0539">
        <w:rPr>
          <w:lang w:eastAsia="ja-JP"/>
        </w:rPr>
        <w:t>,</w:t>
      </w:r>
      <w:r>
        <w:rPr>
          <w:lang w:eastAsia="ja-JP"/>
        </w:rPr>
        <w:t xml:space="preserve"> it has been agreed that at least one of the PSFCH transmissions from the responding UE has to include the initiator UE (as shown in the figure above). However, one of the remaining aspects is whether to extend even further th</w:t>
      </w:r>
      <w:r w:rsidR="00CA0539">
        <w:rPr>
          <w:lang w:eastAsia="ja-JP"/>
        </w:rPr>
        <w:t>is</w:t>
      </w:r>
      <w:r>
        <w:rPr>
          <w:lang w:eastAsia="ja-JP"/>
        </w:rPr>
        <w:t xml:space="preserve"> scenario</w:t>
      </w:r>
      <w:r w:rsidR="00CA0539">
        <w:rPr>
          <w:lang w:eastAsia="ja-JP"/>
        </w:rPr>
        <w:t>, to the case</w:t>
      </w:r>
      <w:r>
        <w:rPr>
          <w:lang w:eastAsia="ja-JP"/>
        </w:rPr>
        <w:t xml:space="preserve"> where the responding UE can use the COT shared by the initiator UE, i.e., whether the responding UE can use the COT sharing without having any PSFCH transmission intended for the initiator UE. In our view, this scenario is not a feasible one and should not be agreed. The rationale is that if the initiator UE has shared a COT with the responding UE, it is reasonable that the responding UE makes use of this COT to transmit to the initiator UE (and potentially other UEs) but </w:t>
      </w:r>
      <w:r w:rsidR="00CA0539">
        <w:rPr>
          <w:lang w:eastAsia="ja-JP"/>
        </w:rPr>
        <w:t xml:space="preserve">in all scenarios </w:t>
      </w:r>
      <w:r>
        <w:rPr>
          <w:lang w:eastAsia="ja-JP"/>
        </w:rPr>
        <w:t>at least the initiator</w:t>
      </w:r>
      <w:r w:rsidR="00CA0539">
        <w:rPr>
          <w:lang w:eastAsia="ja-JP"/>
        </w:rPr>
        <w:t xml:space="preserve"> UE</w:t>
      </w:r>
      <w:r>
        <w:rPr>
          <w:lang w:eastAsia="ja-JP"/>
        </w:rPr>
        <w:t xml:space="preserve"> sh</w:t>
      </w:r>
      <w:r w:rsidR="00CA0539">
        <w:rPr>
          <w:lang w:eastAsia="ja-JP"/>
        </w:rPr>
        <w:t>all</w:t>
      </w:r>
      <w:r>
        <w:rPr>
          <w:lang w:eastAsia="ja-JP"/>
        </w:rPr>
        <w:t xml:space="preserve"> be included. Moreover, it is unclear that if the responding UE does not</w:t>
      </w:r>
      <w:r w:rsidR="005B7881">
        <w:rPr>
          <w:lang w:eastAsia="ja-JP"/>
        </w:rPr>
        <w:t xml:space="preserve"> transmit to the </w:t>
      </w:r>
      <w:r w:rsidR="00CA0539">
        <w:rPr>
          <w:lang w:eastAsia="ja-JP"/>
        </w:rPr>
        <w:t>initiator UE,</w:t>
      </w:r>
      <w:r w:rsidR="005B7881">
        <w:rPr>
          <w:lang w:eastAsia="ja-JP"/>
        </w:rPr>
        <w:t xml:space="preserve"> it will have any transmission for any other UEs. Therefore, based on this argumentation we do not support that the responding UE uses the COT sharing for other UEs rather than the initiator UE.</w:t>
      </w:r>
    </w:p>
    <w:p w14:paraId="4F5F0386" w14:textId="22595306" w:rsidR="005B7881" w:rsidRDefault="005B7881" w:rsidP="00E006F7">
      <w:pPr>
        <w:pStyle w:val="Proposal"/>
      </w:pPr>
      <w:bookmarkStart w:id="7" w:name="_Toc127544545"/>
      <w:r>
        <w:t xml:space="preserve">In the UE-to-UE COT sharing framework for the case of PSFCH, the </w:t>
      </w:r>
      <w:r w:rsidR="00CB686E">
        <w:t>respond</w:t>
      </w:r>
      <w:r w:rsidR="00E50191">
        <w:t>ing</w:t>
      </w:r>
      <w:r w:rsidR="00CB686E">
        <w:t xml:space="preserve"> </w:t>
      </w:r>
      <w:r>
        <w:t>UE shall always at least transmit to the initiator UE, i.e., it is not allowed to use the COT sharing to transmit PSFCH to other UEs than the initiator UE.</w:t>
      </w:r>
      <w:bookmarkEnd w:id="7"/>
    </w:p>
    <w:p w14:paraId="1BA9F3E6" w14:textId="4652846A" w:rsidR="005B7881" w:rsidRDefault="005B7881" w:rsidP="00CC75F4">
      <w:pPr>
        <w:spacing w:before="240"/>
        <w:jc w:val="both"/>
        <w:rPr>
          <w:lang w:eastAsia="ja-JP"/>
        </w:rPr>
      </w:pPr>
      <w:r>
        <w:rPr>
          <w:lang w:eastAsia="ja-JP"/>
        </w:rPr>
        <w:lastRenderedPageBreak/>
        <w:t>The second aspect to discuss is for the case of using UE-to-UE COT sharing when transmitting PSCCH/PSSCH. In this case, we have the following scenario:</w:t>
      </w:r>
    </w:p>
    <w:p w14:paraId="33A31A2C" w14:textId="77777777" w:rsidR="005B7881" w:rsidRDefault="005B7881" w:rsidP="00E006F7">
      <w:pPr>
        <w:keepNext/>
        <w:spacing w:before="240"/>
        <w:jc w:val="center"/>
      </w:pPr>
      <w:r>
        <w:rPr>
          <w:noProof/>
          <w:lang w:eastAsia="ja-JP"/>
        </w:rPr>
        <w:drawing>
          <wp:inline distT="0" distB="0" distL="0" distR="0" wp14:anchorId="3906A3FA" wp14:editId="0DE3F617">
            <wp:extent cx="2582022" cy="248352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3278" cy="2494348"/>
                    </a:xfrm>
                    <a:prstGeom prst="rect">
                      <a:avLst/>
                    </a:prstGeom>
                    <a:noFill/>
                  </pic:spPr>
                </pic:pic>
              </a:graphicData>
            </a:graphic>
          </wp:inline>
        </w:drawing>
      </w:r>
    </w:p>
    <w:p w14:paraId="66AEC1A7" w14:textId="3FDB668F" w:rsidR="005B7881" w:rsidRDefault="005B7881" w:rsidP="00E006F7">
      <w:pPr>
        <w:pStyle w:val="Caption"/>
        <w:jc w:val="center"/>
        <w:rPr>
          <w:lang w:eastAsia="ja-JP"/>
        </w:rPr>
      </w:pPr>
      <w:r>
        <w:t xml:space="preserve">Figure </w:t>
      </w:r>
      <w:r>
        <w:fldChar w:fldCharType="begin"/>
      </w:r>
      <w:r>
        <w:instrText xml:space="preserve"> SEQ Figure \* ARABIC </w:instrText>
      </w:r>
      <w:r>
        <w:fldChar w:fldCharType="separate"/>
      </w:r>
      <w:r w:rsidR="00466B55">
        <w:rPr>
          <w:noProof/>
        </w:rPr>
        <w:t>2</w:t>
      </w:r>
      <w:r>
        <w:fldChar w:fldCharType="end"/>
      </w:r>
      <w:r>
        <w:t xml:space="preserve">: </w:t>
      </w:r>
      <w:r w:rsidRPr="00601D16">
        <w:t>UE-to-UE COT sharing for PS</w:t>
      </w:r>
      <w:r>
        <w:t>C</w:t>
      </w:r>
      <w:r w:rsidRPr="00601D16">
        <w:t>CH</w:t>
      </w:r>
      <w:r>
        <w:t>/PSSCH</w:t>
      </w:r>
      <w:r w:rsidRPr="00601D16">
        <w:t xml:space="preserve"> transmissions</w:t>
      </w:r>
    </w:p>
    <w:p w14:paraId="66B05FC2" w14:textId="4A0DF2F6" w:rsidR="005B7881" w:rsidRDefault="005B7881" w:rsidP="00CC75F4">
      <w:pPr>
        <w:spacing w:before="240"/>
        <w:jc w:val="both"/>
        <w:rPr>
          <w:lang w:eastAsia="ja-JP"/>
        </w:rPr>
      </w:pPr>
      <w:r>
        <w:rPr>
          <w:lang w:eastAsia="ja-JP"/>
        </w:rPr>
        <w:t xml:space="preserve">In this case, it has been discussed during RAN1#111 whether to extend the potential use of the responding UE to </w:t>
      </w:r>
      <w:r w:rsidR="00FD546B">
        <w:rPr>
          <w:lang w:eastAsia="ja-JP"/>
        </w:rPr>
        <w:t xml:space="preserve">include the initiator UE and other UEs when the responding UE uses the COT sharing for transmitting PSSCH/PSCCH. In our view, extending the number of UEs that can be </w:t>
      </w:r>
      <w:r w:rsidR="00F9765A">
        <w:rPr>
          <w:lang w:eastAsia="ja-JP"/>
        </w:rPr>
        <w:t xml:space="preserve">receiving </w:t>
      </w:r>
      <w:r w:rsidR="00FD546B">
        <w:rPr>
          <w:lang w:eastAsia="ja-JP"/>
        </w:rPr>
        <w:t xml:space="preserve">the transmission from the responding UE </w:t>
      </w:r>
      <w:r w:rsidR="0010779D">
        <w:rPr>
          <w:lang w:eastAsia="ja-JP"/>
        </w:rPr>
        <w:t>(</w:t>
      </w:r>
      <w:r w:rsidR="00FD546B">
        <w:rPr>
          <w:lang w:eastAsia="ja-JP"/>
        </w:rPr>
        <w:t>i.e., to include the initiator and other UEs</w:t>
      </w:r>
      <w:r w:rsidR="0010779D">
        <w:rPr>
          <w:lang w:eastAsia="ja-JP"/>
        </w:rPr>
        <w:t>) will require</w:t>
      </w:r>
      <w:r w:rsidR="00A75C77">
        <w:rPr>
          <w:lang w:eastAsia="ja-JP"/>
        </w:rPr>
        <w:t xml:space="preserve"> use </w:t>
      </w:r>
      <w:r w:rsidR="000D30B4">
        <w:rPr>
          <w:lang w:eastAsia="ja-JP"/>
        </w:rPr>
        <w:t>restrictions</w:t>
      </w:r>
      <w:r w:rsidR="00FD546B">
        <w:rPr>
          <w:lang w:eastAsia="ja-JP"/>
        </w:rPr>
        <w:t xml:space="preserve"> in order to avoid the abuse of this mechanism from the responding UE.</w:t>
      </w:r>
    </w:p>
    <w:p w14:paraId="44F43022" w14:textId="734B1A94" w:rsidR="00FD546B" w:rsidRDefault="00FD546B" w:rsidP="00B13580">
      <w:pPr>
        <w:jc w:val="both"/>
        <w:rPr>
          <w:lang w:eastAsia="ja-JP"/>
        </w:rPr>
      </w:pPr>
      <w:r>
        <w:rPr>
          <w:lang w:eastAsia="ja-JP"/>
        </w:rPr>
        <w:t>In our view, the UEs that can be part of the group of UEs to receive the PSSCH/PSCCH transmission from the responding UE will include the initiator UE and UEs which are part of a group indicated by the initiator UE. Therefore, we propose that within the COT sharing transmission (as shown in the figure above), the initiator UE indicates a type of COT sharing IDs which identify the potential receivers of the transmission from the responding UE. This is reasonable since in order to make use of the COT shared by the initiator UE, there should be a certain connection among the other UEs and the initiator UE in order to benefit the initiator UE.</w:t>
      </w:r>
    </w:p>
    <w:p w14:paraId="23479435" w14:textId="5840C9DB" w:rsidR="00FD546B" w:rsidRDefault="00FD546B" w:rsidP="00E006F7">
      <w:pPr>
        <w:pStyle w:val="Proposal"/>
        <w:rPr>
          <w:lang w:eastAsia="ja-JP"/>
        </w:rPr>
      </w:pPr>
      <w:bookmarkStart w:id="8" w:name="_Toc127544546"/>
      <w:r>
        <w:t>In the UE-to-UE COT sharing framework for the case of PSSCH/PSCCH, the initiator UE indicates within its COT sharing transmission the IDs of the potential additional receivers (other than itself) for the transmissions from the responding UE.</w:t>
      </w:r>
      <w:bookmarkEnd w:id="8"/>
    </w:p>
    <w:p w14:paraId="5950FF40" w14:textId="56322D73" w:rsidR="00FD546B" w:rsidRDefault="0096796F" w:rsidP="00FD546B">
      <w:pPr>
        <w:pStyle w:val="Doc-text2"/>
        <w:spacing w:before="240" w:after="240"/>
        <w:ind w:left="0" w:firstLine="0"/>
        <w:jc w:val="both"/>
        <w:rPr>
          <w:lang w:val="en-US"/>
        </w:rPr>
      </w:pPr>
      <w:r>
        <w:rPr>
          <w:lang w:val="en-US"/>
        </w:rPr>
        <w:t>Note that</w:t>
      </w:r>
      <w:r w:rsidR="00FD546B">
        <w:rPr>
          <w:lang w:val="en-US"/>
        </w:rPr>
        <w:t xml:space="preserve"> several UEs might want to use the same COT sharing, </w:t>
      </w:r>
      <w:r>
        <w:rPr>
          <w:lang w:val="en-US"/>
        </w:rPr>
        <w:t>which may be problematic.</w:t>
      </w:r>
    </w:p>
    <w:p w14:paraId="54CD0BF8" w14:textId="076433FB" w:rsidR="00FD546B" w:rsidRDefault="00FD546B" w:rsidP="00E006F7">
      <w:pPr>
        <w:pStyle w:val="Observation"/>
        <w:ind w:left="1701" w:hanging="1701"/>
      </w:pPr>
      <w:bookmarkStart w:id="9" w:name="_Toc127544578"/>
      <w:r>
        <w:t>For UE-to-UE COT sharing, in case the responding SL UE(s) is any UE that can decode the SL transmission, it is unclear how to avoid blocking among several UEs when trying to access the channel.</w:t>
      </w:r>
      <w:bookmarkEnd w:id="9"/>
    </w:p>
    <w:p w14:paraId="59EF7521" w14:textId="0C2771EE" w:rsidR="00FD546B" w:rsidRDefault="00FD546B" w:rsidP="00CC75F4">
      <w:pPr>
        <w:spacing w:before="240"/>
        <w:jc w:val="both"/>
        <w:rPr>
          <w:lang w:eastAsia="ja-JP"/>
        </w:rPr>
      </w:pPr>
      <w:r>
        <w:rPr>
          <w:lang w:eastAsia="ja-JP"/>
        </w:rPr>
        <w:t>Regarding the COT sharing IDs that can be included in the COT sharing indication from the initiator UE, we think that some sort of limitation is needed, e.g., the IDs are limited to a certain service that is shared between the initiator UE and the other UEs, or the initiator UE and the other UEs belong to the same group.</w:t>
      </w:r>
      <w:r w:rsidR="0083578C">
        <w:rPr>
          <w:lang w:eastAsia="ja-JP"/>
        </w:rPr>
        <w:t xml:space="preserve"> The rationale behind the intention of limiting the number of UEs is that these UEs </w:t>
      </w:r>
      <w:r w:rsidR="0083578C">
        <w:t>will be competing to get access to the channel. It is unclear how this problem can be solved without having a constant blockage among the UEs trying to access the channel. Under this constant blockage among the UEs, the COT sharing might be in general not used.</w:t>
      </w:r>
    </w:p>
    <w:p w14:paraId="0BE71176" w14:textId="1CF29B33" w:rsidR="00FD546B" w:rsidRDefault="00FD546B" w:rsidP="00E006F7">
      <w:pPr>
        <w:pStyle w:val="Proposal"/>
        <w:rPr>
          <w:lang w:eastAsia="ja-JP"/>
        </w:rPr>
      </w:pPr>
      <w:bookmarkStart w:id="10" w:name="_Toc127544547"/>
      <w:r>
        <w:t xml:space="preserve">In the UE-to-UE COT sharing framework for the case of PSSCH/PSCCH, </w:t>
      </w:r>
      <w:r w:rsidR="005E6CA9">
        <w:t>the receiver UEs of the transmission from the responder UE are restricted, e.g., based on a group belonging or based on specific service, while always including the initiator UE.</w:t>
      </w:r>
      <w:bookmarkEnd w:id="10"/>
    </w:p>
    <w:p w14:paraId="7D77B980" w14:textId="0996C932" w:rsidR="00B42C34" w:rsidRDefault="00491180" w:rsidP="00CC75F4">
      <w:pPr>
        <w:spacing w:before="240"/>
        <w:jc w:val="both"/>
      </w:pPr>
      <w:bookmarkStart w:id="11" w:name="_Toc118467626"/>
      <w:bookmarkStart w:id="12" w:name="_Toc118467665"/>
      <w:bookmarkStart w:id="13" w:name="_Toc118701104"/>
      <w:bookmarkStart w:id="14" w:name="_Toc118467628"/>
      <w:bookmarkStart w:id="15" w:name="_Toc118467667"/>
      <w:bookmarkStart w:id="16" w:name="_Toc118701106"/>
      <w:bookmarkEnd w:id="11"/>
      <w:bookmarkEnd w:id="12"/>
      <w:bookmarkEnd w:id="13"/>
      <w:bookmarkEnd w:id="14"/>
      <w:bookmarkEnd w:id="15"/>
      <w:bookmarkEnd w:id="16"/>
      <w:r>
        <w:rPr>
          <w:lang w:eastAsia="ja-JP"/>
        </w:rPr>
        <w:lastRenderedPageBreak/>
        <w:t xml:space="preserve">Moreover, during the last meeting there were some </w:t>
      </w:r>
      <w:r w:rsidR="00945AD4">
        <w:rPr>
          <w:lang w:eastAsia="ja-JP"/>
        </w:rPr>
        <w:t>discussions</w:t>
      </w:r>
      <w:r>
        <w:rPr>
          <w:lang w:eastAsia="ja-JP"/>
        </w:rPr>
        <w:t xml:space="preserve"> on procedures to share the COT among different UEs, i.e., outside of the initiator-response pair of UEs. </w:t>
      </w:r>
      <w:r w:rsidR="0070362E">
        <w:rPr>
          <w:lang w:eastAsia="ja-JP"/>
        </w:rPr>
        <w:t xml:space="preserve">Our view is that </w:t>
      </w:r>
      <w:r w:rsidR="00B42C34">
        <w:t xml:space="preserve">COT should not be </w:t>
      </w:r>
      <w:r w:rsidR="0083578C">
        <w:t xml:space="preserve">forwarded as a </w:t>
      </w:r>
      <w:r w:rsidR="0083578C" w:rsidDel="00416C83">
        <w:t xml:space="preserve">general </w:t>
      </w:r>
      <w:r w:rsidR="00416C83">
        <w:t>rule</w:t>
      </w:r>
      <w:r w:rsidR="00B42C34">
        <w:t xml:space="preserve">. This is because a UE initiating COT cannot have the full view of the channel occupancy in contrary to gNB and will not be able to avoid collisions with other UEs in the system. </w:t>
      </w:r>
      <w:r w:rsidR="002A4418">
        <w:t>Additionally, in certain scenarios/conditions forwarding/sharing the COT among more than just the original initiator/response UE might cause that the UEs involved in the COT sharing have an over extensive use of the channel, i.e., since during the COT sharing other UEs or technologies might not be able to access the channel, which might lead to an unfair behavior for other technologies when trying to access the shared channel.</w:t>
      </w:r>
    </w:p>
    <w:p w14:paraId="75144DBF" w14:textId="44D25D5E" w:rsidR="00B42C34" w:rsidRDefault="00B42C34" w:rsidP="00B42C34">
      <w:pPr>
        <w:pStyle w:val="Proposal"/>
      </w:pPr>
      <w:bookmarkStart w:id="17" w:name="_Toc127544548"/>
      <w:r>
        <w:t xml:space="preserve">COT </w:t>
      </w:r>
      <w:r w:rsidR="0083578C">
        <w:t>information</w:t>
      </w:r>
      <w:r>
        <w:t xml:space="preserve"> is not shared</w:t>
      </w:r>
      <w:r w:rsidR="00491180">
        <w:t xml:space="preserve"> or forward</w:t>
      </w:r>
      <w:r w:rsidR="005400EB">
        <w:t>ed</w:t>
      </w:r>
      <w:r>
        <w:t xml:space="preserve"> for </w:t>
      </w:r>
      <w:r w:rsidR="0083578C">
        <w:t>any type of</w:t>
      </w:r>
      <w:r>
        <w:t xml:space="preserve"> transmissions between different UEs.</w:t>
      </w:r>
      <w:bookmarkEnd w:id="17"/>
      <w:r>
        <w:t xml:space="preserve"> </w:t>
      </w:r>
    </w:p>
    <w:p w14:paraId="267C3095" w14:textId="11509820" w:rsidR="006E774E" w:rsidRDefault="006E774E" w:rsidP="006E774E">
      <w:pPr>
        <w:pStyle w:val="Heading4"/>
      </w:pPr>
      <w:r>
        <w:t>2.1.1.1</w:t>
      </w:r>
      <w:r>
        <w:tab/>
        <w:t>Re-prioritization of resources under UE-to-UE COT sharing</w:t>
      </w:r>
    </w:p>
    <w:p w14:paraId="5BE8B813" w14:textId="176EB0C1" w:rsidR="00FD546B" w:rsidRDefault="00416C83" w:rsidP="00E006F7">
      <w:pPr>
        <w:tabs>
          <w:tab w:val="left" w:pos="2874"/>
        </w:tabs>
        <w:jc w:val="both"/>
        <w:rPr>
          <w:lang w:val="en-GB" w:eastAsia="ja-JP"/>
        </w:rPr>
      </w:pPr>
      <w:r>
        <w:rPr>
          <w:lang w:val="en-GB" w:eastAsia="ja-JP"/>
        </w:rPr>
        <w:t>One issue that it is important to discuss related to the extension of the potential receivers included in the UE-to-UE COT sharing, i.e., the initiator UE and other UEs can be potential receivers, is the re-prioritization of transmissions /resources for PSFCH and PSSCH/PSCCH.</w:t>
      </w:r>
    </w:p>
    <w:p w14:paraId="13A1A196" w14:textId="77777777" w:rsidR="00232BF4" w:rsidRDefault="00416C83" w:rsidP="00E006F7">
      <w:pPr>
        <w:tabs>
          <w:tab w:val="left" w:pos="2874"/>
        </w:tabs>
        <w:jc w:val="both"/>
        <w:rPr>
          <w:lang w:val="en-GB" w:eastAsia="ja-JP"/>
        </w:rPr>
      </w:pPr>
      <w:r>
        <w:rPr>
          <w:lang w:val="en-GB" w:eastAsia="ja-JP"/>
        </w:rPr>
        <w:t>For the case of PSFCH due to LBT failure, it is possible that the responding UE has several PSFCH transmissions to be transmitted during the PSFCH occasion aligned with the COT sharing. However, based on the agreements and our proposal, at least the PSFCH transmission intended for the initiator UE shall be included in the PSFCH occasion used during COT sharing. An example scenario is given in the following figure:</w:t>
      </w:r>
    </w:p>
    <w:p w14:paraId="0C7FABD7" w14:textId="2BA5D323" w:rsidR="00416C83" w:rsidRDefault="00232BF4" w:rsidP="00E006F7">
      <w:pPr>
        <w:tabs>
          <w:tab w:val="left" w:pos="2874"/>
        </w:tabs>
        <w:jc w:val="both"/>
        <w:rPr>
          <w:lang w:val="en-GB" w:eastAsia="ja-JP"/>
        </w:rPr>
      </w:pPr>
      <w:r>
        <w:rPr>
          <w:noProof/>
          <w:lang w:val="en-GB" w:eastAsia="ja-JP"/>
        </w:rPr>
        <w:drawing>
          <wp:inline distT="0" distB="0" distL="0" distR="0" wp14:anchorId="1E891D8D" wp14:editId="50492BF8">
            <wp:extent cx="6039100" cy="259985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61782" cy="2609615"/>
                    </a:xfrm>
                    <a:prstGeom prst="rect">
                      <a:avLst/>
                    </a:prstGeom>
                    <a:noFill/>
                  </pic:spPr>
                </pic:pic>
              </a:graphicData>
            </a:graphic>
          </wp:inline>
        </w:drawing>
      </w:r>
    </w:p>
    <w:p w14:paraId="7C7C1B64" w14:textId="4B10047B" w:rsidR="00416C83" w:rsidRDefault="00416C83" w:rsidP="00E006F7">
      <w:pPr>
        <w:keepNext/>
        <w:tabs>
          <w:tab w:val="left" w:pos="2874"/>
        </w:tabs>
        <w:jc w:val="center"/>
      </w:pPr>
    </w:p>
    <w:p w14:paraId="0EA78843" w14:textId="72D5285C" w:rsidR="00416C83" w:rsidRDefault="00416C83" w:rsidP="00631EC3">
      <w:pPr>
        <w:pStyle w:val="Caption"/>
        <w:jc w:val="center"/>
      </w:pPr>
      <w:r>
        <w:t xml:space="preserve">Figure </w:t>
      </w:r>
      <w:r>
        <w:fldChar w:fldCharType="begin"/>
      </w:r>
      <w:r>
        <w:instrText xml:space="preserve"> SEQ Figure \* ARABIC </w:instrText>
      </w:r>
      <w:r>
        <w:fldChar w:fldCharType="separate"/>
      </w:r>
      <w:r w:rsidR="00466B55">
        <w:rPr>
          <w:noProof/>
        </w:rPr>
        <w:t>3</w:t>
      </w:r>
      <w:r>
        <w:fldChar w:fldCharType="end"/>
      </w:r>
      <w:r>
        <w:t>: Scenario where re-prioritization of PSFCH resources is needed.</w:t>
      </w:r>
    </w:p>
    <w:p w14:paraId="0588268C" w14:textId="10D4505B" w:rsidR="00416C83" w:rsidRDefault="00416C83" w:rsidP="00631EC3">
      <w:pPr>
        <w:jc w:val="both"/>
        <w:rPr>
          <w:lang w:eastAsia="en-GB"/>
        </w:rPr>
      </w:pPr>
      <w:r>
        <w:rPr>
          <w:lang w:eastAsia="en-GB"/>
        </w:rPr>
        <w:t xml:space="preserve">As shown in the figure above, the </w:t>
      </w:r>
      <w:r w:rsidR="007B4D5D">
        <w:rPr>
          <w:lang w:eastAsia="en-GB"/>
        </w:rPr>
        <w:t>number of simultaneous</w:t>
      </w:r>
      <w:r>
        <w:rPr>
          <w:lang w:eastAsia="en-GB"/>
        </w:rPr>
        <w:t xml:space="preserve"> </w:t>
      </w:r>
      <w:r w:rsidR="00631EC3">
        <w:rPr>
          <w:lang w:eastAsia="en-GB"/>
        </w:rPr>
        <w:t xml:space="preserve">PSFCH transmissions </w:t>
      </w:r>
      <w:r w:rsidR="006C497F">
        <w:rPr>
          <w:lang w:eastAsia="en-GB"/>
        </w:rPr>
        <w:t>that a UE supports</w:t>
      </w:r>
      <w:r w:rsidR="00631EC3">
        <w:rPr>
          <w:lang w:eastAsia="en-GB"/>
        </w:rPr>
        <w:t xml:space="preserve"> </w:t>
      </w:r>
      <w:r w:rsidR="007B4D5D">
        <w:rPr>
          <w:lang w:eastAsia="en-GB"/>
        </w:rPr>
        <w:t>is</w:t>
      </w:r>
      <w:r w:rsidR="00631EC3">
        <w:rPr>
          <w:lang w:eastAsia="en-GB"/>
        </w:rPr>
        <w:t xml:space="preserve"> limited and therefore, it is important to ensure that at least the PSFCH transmission</w:t>
      </w:r>
      <w:r w:rsidR="003A1D27">
        <w:rPr>
          <w:lang w:eastAsia="en-GB"/>
        </w:rPr>
        <w:t>(s)</w:t>
      </w:r>
      <w:r w:rsidR="00631EC3">
        <w:rPr>
          <w:lang w:eastAsia="en-GB"/>
        </w:rPr>
        <w:t xml:space="preserve"> intended for the initiator UE </w:t>
      </w:r>
      <w:r w:rsidR="003A1D27">
        <w:rPr>
          <w:lang w:eastAsia="en-GB"/>
        </w:rPr>
        <w:t>are</w:t>
      </w:r>
      <w:r w:rsidR="00631EC3">
        <w:rPr>
          <w:lang w:eastAsia="en-GB"/>
        </w:rPr>
        <w:t xml:space="preserve"> part of the PSFCH transmissions when using the UE-to-UE COT sharing for PSFCH. Therefore, a potential re-prioritization of the PSFCH resources to be transmitted is needed, i.e., once the COT sharing mechanism is triggered for PSFCH transmission, the PSFCH transmission for the initiator UE has the highest priority.</w:t>
      </w:r>
    </w:p>
    <w:p w14:paraId="65D1A70E" w14:textId="2E1797A5" w:rsidR="00631EC3" w:rsidRDefault="00631EC3" w:rsidP="00631EC3">
      <w:pPr>
        <w:pStyle w:val="Proposal"/>
      </w:pPr>
      <w:bookmarkStart w:id="18" w:name="_Toc127544549"/>
      <w:r>
        <w:t>The responding UE needs to ensure that the PSFCH transmission for the initiator UE is transmitted during the PSFCH occasion under the COT sharing mechanism, i.e., by means of re-prioritization of resources if needed.</w:t>
      </w:r>
      <w:bookmarkEnd w:id="18"/>
    </w:p>
    <w:p w14:paraId="5A2156F4" w14:textId="111549BC" w:rsidR="003C65F1" w:rsidRDefault="003C65F1" w:rsidP="00E006F7">
      <w:pPr>
        <w:pStyle w:val="IvDbodytext"/>
        <w:jc w:val="both"/>
      </w:pPr>
      <w:r w:rsidRPr="00560B25">
        <w:t>Similarly,</w:t>
      </w:r>
      <w:r>
        <w:t xml:space="preserve"> for the case of PSSCH/PSCCH transmission from the responding UE, it is also needed to perform a certain re-prioritization of the resources/transmission to be used under the UE-to-UE COT sharing framework. An example scenario is given in the following figure:</w:t>
      </w:r>
    </w:p>
    <w:p w14:paraId="0DEE9569" w14:textId="5075F9D2" w:rsidR="003C65F1" w:rsidRDefault="005E6CA9" w:rsidP="00E006F7">
      <w:pPr>
        <w:pStyle w:val="IvDbodytext"/>
        <w:keepNext/>
        <w:jc w:val="center"/>
      </w:pPr>
      <w:r>
        <w:rPr>
          <w:noProof/>
        </w:rPr>
        <w:lastRenderedPageBreak/>
        <w:drawing>
          <wp:inline distT="0" distB="0" distL="0" distR="0" wp14:anchorId="3265CB2E" wp14:editId="128682D4">
            <wp:extent cx="6205298" cy="1725433"/>
            <wp:effectExtent l="0" t="0" r="508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71354" cy="1743800"/>
                    </a:xfrm>
                    <a:prstGeom prst="rect">
                      <a:avLst/>
                    </a:prstGeom>
                    <a:noFill/>
                  </pic:spPr>
                </pic:pic>
              </a:graphicData>
            </a:graphic>
          </wp:inline>
        </w:drawing>
      </w:r>
    </w:p>
    <w:p w14:paraId="78BA5D6D" w14:textId="3B92AA96" w:rsidR="003C65F1" w:rsidRDefault="003C65F1" w:rsidP="008D7C79">
      <w:pPr>
        <w:pStyle w:val="Caption"/>
        <w:jc w:val="center"/>
      </w:pPr>
      <w:r>
        <w:t xml:space="preserve">Figure </w:t>
      </w:r>
      <w:r>
        <w:fldChar w:fldCharType="begin"/>
      </w:r>
      <w:r>
        <w:instrText xml:space="preserve"> SEQ Figure \* ARABIC </w:instrText>
      </w:r>
      <w:r>
        <w:fldChar w:fldCharType="separate"/>
      </w:r>
      <w:r w:rsidR="00466B55">
        <w:rPr>
          <w:noProof/>
        </w:rPr>
        <w:t>4</w:t>
      </w:r>
      <w:r>
        <w:fldChar w:fldCharType="end"/>
      </w:r>
      <w:r>
        <w:t xml:space="preserve">: </w:t>
      </w:r>
      <w:r w:rsidR="00715BF0">
        <w:t>Example s</w:t>
      </w:r>
      <w:r w:rsidRPr="00987536">
        <w:t xml:space="preserve">cenario where re-prioritization of </w:t>
      </w:r>
      <w:r>
        <w:t>PSSCH/PSCCH</w:t>
      </w:r>
      <w:r w:rsidRPr="00987536">
        <w:t xml:space="preserve"> </w:t>
      </w:r>
      <w:r>
        <w:t>transmissions</w:t>
      </w:r>
      <w:r w:rsidRPr="00987536">
        <w:t xml:space="preserve"> is needed.</w:t>
      </w:r>
      <w:r w:rsidR="008D7C79">
        <w:t xml:space="preserve"> The figure on top shows the transmission without any re-prioritization while the figure below shows the transmission after performing re-prioritization.</w:t>
      </w:r>
    </w:p>
    <w:p w14:paraId="01FDA405" w14:textId="170843F6" w:rsidR="003C65F1" w:rsidRDefault="003C65F1" w:rsidP="00560B25">
      <w:pPr>
        <w:jc w:val="both"/>
        <w:rPr>
          <w:lang w:eastAsia="en-GB"/>
        </w:rPr>
      </w:pPr>
      <w:r>
        <w:rPr>
          <w:lang w:eastAsia="en-GB"/>
        </w:rPr>
        <w:t>As shown in the figure, the responding UE has several transmissions ready to be transmitted within the timeline indicated by the initiator UE to use the COT sharing. However, without a</w:t>
      </w:r>
      <w:r w:rsidR="008D7C79">
        <w:rPr>
          <w:lang w:eastAsia="en-GB"/>
        </w:rPr>
        <w:t xml:space="preserve"> </w:t>
      </w:r>
      <w:r>
        <w:rPr>
          <w:lang w:eastAsia="en-GB"/>
        </w:rPr>
        <w:t>re-prioritization of the transmissions to be sent, it is possible that the transmission which are related to COT sharing, i.e., transmission intended for the initiator UE and to UEs belonging to the IDs indicated in the COT sharing indication, will not be transmitted under the COT sharing, and therefore, the COT sharing will not be used. Based on this, we propose to trigger a re-prioritization of transmission under the UE-to-UE COT sharing framework when transmitting PSSCH/PSCCH transmissions in order to fulfill the COT sharing rules and be able to make use of it.</w:t>
      </w:r>
    </w:p>
    <w:p w14:paraId="1DC48518" w14:textId="309BDA2B" w:rsidR="003C65F1" w:rsidRPr="00E006F7" w:rsidRDefault="003C65F1" w:rsidP="00E006F7">
      <w:pPr>
        <w:pStyle w:val="Proposal"/>
        <w:rPr>
          <w:lang w:eastAsia="en-GB"/>
        </w:rPr>
      </w:pPr>
      <w:bookmarkStart w:id="19" w:name="_Toc127544550"/>
      <w:r>
        <w:t xml:space="preserve">For the case of PSCCH/PSSCH transmission, the responding UE needs to ensure that the transmission intended for the initiator UE and the </w:t>
      </w:r>
      <w:r>
        <w:rPr>
          <w:lang w:eastAsia="en-GB"/>
        </w:rPr>
        <w:t>UEs belonging to the IDs indicated in the COT sharing</w:t>
      </w:r>
      <w:r>
        <w:t xml:space="preserve"> are transmitted within the COT sharing, i.e., by means of re-</w:t>
      </w:r>
      <w:r w:rsidR="008C77DC">
        <w:t>prioritization</w:t>
      </w:r>
      <w:r w:rsidR="008D7C79">
        <w:t xml:space="preserve"> of transmissions</w:t>
      </w:r>
      <w:r>
        <w:t>.</w:t>
      </w:r>
      <w:bookmarkEnd w:id="19"/>
    </w:p>
    <w:p w14:paraId="3B8948E6" w14:textId="4CE74721" w:rsidR="00423525" w:rsidRPr="009C05B5" w:rsidRDefault="00423525" w:rsidP="00CC75F4">
      <w:pPr>
        <w:pStyle w:val="Heading3"/>
      </w:pPr>
      <w:r>
        <w:t>2.1.</w:t>
      </w:r>
      <w:r w:rsidR="006E774E">
        <w:t>2</w:t>
      </w:r>
      <w:r>
        <w:tab/>
        <w:t>Enhancements to the GP</w:t>
      </w:r>
    </w:p>
    <w:tbl>
      <w:tblPr>
        <w:tblStyle w:val="TableGrid"/>
        <w:tblW w:w="0" w:type="auto"/>
        <w:tblLook w:val="04A0" w:firstRow="1" w:lastRow="0" w:firstColumn="1" w:lastColumn="0" w:noHBand="0" w:noVBand="1"/>
      </w:tblPr>
      <w:tblGrid>
        <w:gridCol w:w="9629"/>
      </w:tblGrid>
      <w:tr w:rsidR="006A2E7C" w14:paraId="13665665" w14:textId="77777777" w:rsidTr="006A2E7C">
        <w:tc>
          <w:tcPr>
            <w:tcW w:w="9629" w:type="dxa"/>
          </w:tcPr>
          <w:p w14:paraId="580D2147" w14:textId="77777777" w:rsidR="006A2E7C" w:rsidRPr="00B10A04" w:rsidRDefault="006A2E7C" w:rsidP="006A2E7C">
            <w:pPr>
              <w:rPr>
                <w:rFonts w:ascii="Times New Roman" w:eastAsia="Batang" w:hAnsi="Times New Roman" w:cs="Times New Roman"/>
                <w:b/>
                <w:sz w:val="20"/>
                <w:szCs w:val="20"/>
                <w:highlight w:val="green"/>
                <w:lang w:val="en-GB"/>
              </w:rPr>
            </w:pPr>
            <w:r w:rsidRPr="00B10A04">
              <w:rPr>
                <w:rFonts w:ascii="Times New Roman" w:eastAsia="Batang" w:hAnsi="Times New Roman" w:cs="Times New Roman"/>
                <w:b/>
                <w:sz w:val="20"/>
                <w:szCs w:val="20"/>
                <w:highlight w:val="green"/>
                <w:lang w:val="en-GB"/>
              </w:rPr>
              <w:t>Agreement</w:t>
            </w:r>
          </w:p>
          <w:p w14:paraId="0AC290AA" w14:textId="77777777" w:rsidR="006A2E7C" w:rsidRPr="00B10A04" w:rsidRDefault="006A2E7C" w:rsidP="006A2E7C">
            <w:pPr>
              <w:numPr>
                <w:ilvl w:val="0"/>
                <w:numId w:val="27"/>
              </w:numPr>
              <w:autoSpaceDE w:val="0"/>
              <w:autoSpaceDN w:val="0"/>
              <w:spacing w:after="0" w:line="240" w:lineRule="auto"/>
              <w:ind w:left="72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A CPE is transmitted from a CPE starting position before SL transmission within a COT, select one or both of the two options:</w:t>
            </w:r>
          </w:p>
          <w:p w14:paraId="65348480"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Option 1: within the symbol just before the next AGC symbol</w:t>
            </w:r>
          </w:p>
          <w:p w14:paraId="2ACC0BED"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Option 2: within at most 1, 2 or 4 symbols just before the next AGC symbol for 15, 30 or 60 kHz SCS, respectively</w:t>
            </w:r>
          </w:p>
          <w:p w14:paraId="70F24C60"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whether Option 1 and Option 2 are both applicable and the conditions (e.g., Option 1 in case of COT sharing and Option 2 in case of initiating a COT)</w:t>
            </w:r>
          </w:p>
          <w:p w14:paraId="1A68F171"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which channel access type(s) is applicable for option 1 and option 2</w:t>
            </w:r>
          </w:p>
          <w:p w14:paraId="47034B8D"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other details</w:t>
            </w:r>
          </w:p>
          <w:p w14:paraId="64762F58" w14:textId="77777777" w:rsidR="006A2E7C" w:rsidRPr="00B10A04" w:rsidRDefault="006A2E7C" w:rsidP="006A2E7C">
            <w:pPr>
              <w:numPr>
                <w:ilvl w:val="0"/>
                <w:numId w:val="27"/>
              </w:numPr>
              <w:autoSpaceDE w:val="0"/>
              <w:autoSpaceDN w:val="0"/>
              <w:spacing w:after="0" w:line="240" w:lineRule="auto"/>
              <w:ind w:left="72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A single CPE starting position for PSFCH</w:t>
            </w:r>
          </w:p>
          <w:p w14:paraId="25033BFB"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CPE starting position and whether it should be (pre-)configured in each RP, pre-defined or indicated</w:t>
            </w:r>
          </w:p>
          <w:p w14:paraId="0820CD13"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other details (e.g., indication granularity)</w:t>
            </w:r>
          </w:p>
          <w:p w14:paraId="6D6810EA"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Note: value 0 is a candidate</w:t>
            </w:r>
          </w:p>
          <w:p w14:paraId="4C5DD7FE" w14:textId="77777777" w:rsidR="006A2E7C" w:rsidRPr="00B10A04" w:rsidRDefault="006A2E7C" w:rsidP="006A2E7C">
            <w:pPr>
              <w:numPr>
                <w:ilvl w:val="0"/>
                <w:numId w:val="27"/>
              </w:numPr>
              <w:autoSpaceDE w:val="0"/>
              <w:autoSpaceDN w:val="0"/>
              <w:spacing w:after="0" w:line="240" w:lineRule="auto"/>
              <w:ind w:left="72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At least one CPE starting position for S-SSB</w:t>
            </w:r>
          </w:p>
          <w:p w14:paraId="47341632"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CPE starting position should be (pre-)configured, pre-defined or indicated</w:t>
            </w:r>
          </w:p>
          <w:p w14:paraId="34445DB9"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Whether multiple CPE starting positions should be (pre-)configured, pre-defined or indicated</w:t>
            </w:r>
          </w:p>
          <w:p w14:paraId="3DCC48B7"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 xml:space="preserve">FFS CPE starting positions for the R16 S-SSB and the additional S-SSBs </w:t>
            </w:r>
          </w:p>
          <w:p w14:paraId="610E6B65"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Note: value 0 is a candidate</w:t>
            </w:r>
          </w:p>
          <w:p w14:paraId="013AF682" w14:textId="77777777" w:rsidR="006A2E7C" w:rsidRPr="00B10A04" w:rsidRDefault="006A2E7C" w:rsidP="006A2E7C">
            <w:pPr>
              <w:numPr>
                <w:ilvl w:val="0"/>
                <w:numId w:val="27"/>
              </w:numPr>
              <w:autoSpaceDE w:val="0"/>
              <w:autoSpaceDN w:val="0"/>
              <w:spacing w:after="0" w:line="240" w:lineRule="auto"/>
              <w:ind w:left="72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One or multiple CPE starting positions can be (pre-)configured in each resource pool for PSSCH/PSCCH</w:t>
            </w:r>
          </w:p>
          <w:p w14:paraId="4E0F9385" w14:textId="77777777" w:rsidR="006A2E7C" w:rsidRPr="00B10A04" w:rsidRDefault="006A2E7C" w:rsidP="006A2E7C">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 xml:space="preserve">When multiple CPE starting positions are (pre-)configured, </w:t>
            </w:r>
          </w:p>
          <w:p w14:paraId="469B3B4B" w14:textId="77777777" w:rsidR="006A2E7C" w:rsidRPr="00B10A04" w:rsidRDefault="006A2E7C" w:rsidP="006A2E7C">
            <w:pPr>
              <w:numPr>
                <w:ilvl w:val="2"/>
                <w:numId w:val="27"/>
              </w:numPr>
              <w:autoSpaceDE w:val="0"/>
              <w:autoSpaceDN w:val="0"/>
              <w:spacing w:after="0" w:line="240" w:lineRule="auto"/>
              <w:ind w:left="216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whether/how to define a criteria for selecting a default CPE starting position (e.g., according to partial/full RB set allocation, resource reservation information, within or outside of a COT, etc.)</w:t>
            </w:r>
          </w:p>
          <w:p w14:paraId="4C3E99B7" w14:textId="77777777" w:rsidR="006A2E7C" w:rsidRPr="00B10A04" w:rsidRDefault="006A2E7C" w:rsidP="006A2E7C">
            <w:pPr>
              <w:numPr>
                <w:ilvl w:val="2"/>
                <w:numId w:val="27"/>
              </w:numPr>
              <w:autoSpaceDE w:val="0"/>
              <w:autoSpaceDN w:val="0"/>
              <w:spacing w:after="0" w:line="240" w:lineRule="auto"/>
              <w:ind w:left="216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criteria for selecting one of the multiple CPE starting positions (e.g., according to priority level (e.g., CAPC or L1), selected randomly by UE from the (pre-)configured set of CPEs, selected by the UE based on channel access result, determined based on indication from the COT initiating UE, etc.)</w:t>
            </w:r>
          </w:p>
          <w:p w14:paraId="1F9E350F" w14:textId="4A252FBB" w:rsidR="006A2E7C" w:rsidRPr="00E006F7" w:rsidRDefault="006A2E7C" w:rsidP="00E006F7">
            <w:pPr>
              <w:numPr>
                <w:ilvl w:val="1"/>
                <w:numId w:val="27"/>
              </w:numPr>
              <w:autoSpaceDE w:val="0"/>
              <w:autoSpaceDN w:val="0"/>
              <w:spacing w:after="0" w:line="240" w:lineRule="auto"/>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lastRenderedPageBreak/>
              <w:t>FFS other details</w:t>
            </w:r>
          </w:p>
        </w:tc>
      </w:tr>
    </w:tbl>
    <w:p w14:paraId="352FBCC9" w14:textId="77777777" w:rsidR="006A2E7C" w:rsidRDefault="006A2E7C" w:rsidP="00362E03">
      <w:pPr>
        <w:jc w:val="both"/>
        <w:rPr>
          <w:lang w:val="en-GB" w:eastAsia="ja-JP"/>
        </w:rPr>
      </w:pPr>
    </w:p>
    <w:p w14:paraId="780060BD" w14:textId="2D884017" w:rsidR="00362E03" w:rsidRDefault="00362E03" w:rsidP="00362E03">
      <w:pPr>
        <w:jc w:val="both"/>
        <w:rPr>
          <w:lang w:val="en-GB" w:eastAsia="ja-JP"/>
        </w:rPr>
      </w:pPr>
      <w:r>
        <w:rPr>
          <w:lang w:val="en-GB" w:eastAsia="ja-JP"/>
        </w:rPr>
        <w:t xml:space="preserve">As discussed, the use of COT sharing allows the UEs to transmit without performing CCA/LBT before each transmission. </w:t>
      </w:r>
      <w:r w:rsidRPr="003A68D2">
        <w:rPr>
          <w:lang w:val="en-GB" w:eastAsia="ja-JP"/>
        </w:rPr>
        <w:t>In</w:t>
      </w:r>
      <w:r>
        <w:rPr>
          <w:lang w:val="en-GB" w:eastAsia="ja-JP"/>
        </w:rPr>
        <w:t xml:space="preserve"> SL, a guard period is used to allow TX-RX switching at the end of the slot or before PSFCH resources. Using the same GP procedure </w:t>
      </w:r>
      <w:r w:rsidR="00F40D6D">
        <w:rPr>
          <w:lang w:val="en-GB" w:eastAsia="ja-JP"/>
        </w:rPr>
        <w:t xml:space="preserve">that is </w:t>
      </w:r>
      <w:r w:rsidR="00252DE0">
        <w:rPr>
          <w:lang w:val="en-GB" w:eastAsia="ja-JP"/>
        </w:rPr>
        <w:t>in the</w:t>
      </w:r>
      <w:r>
        <w:rPr>
          <w:lang w:val="en-GB" w:eastAsia="ja-JP"/>
        </w:rPr>
        <w:t xml:space="preserve"> legacy SL, in case of transmission burst spanning multiple slots, the presence of the GP at the end of each slot will require a UE to perform CCA/LBT before each transmission. Note that in unlicensed band, transmission burst is defined as a set of transmissions (from UE or gNB) without any gaps greater than 16 </w:t>
      </w:r>
      <w:r>
        <w:rPr>
          <w:rFonts w:ascii="Symbol" w:eastAsia="Symbol" w:hAnsi="Symbol" w:cs="Symbol"/>
          <w:lang w:val="en-GB" w:eastAsia="ja-JP"/>
        </w:rPr>
        <w:sym w:font="Symbol" w:char="F06D"/>
      </w:r>
      <w:r>
        <w:rPr>
          <w:lang w:val="en-GB" w:eastAsia="ja-JP"/>
        </w:rPr>
        <w:t xml:space="preserve">s and transmission after a gap (&lt; 16 </w:t>
      </w:r>
      <w:r>
        <w:rPr>
          <w:rFonts w:ascii="Symbol" w:eastAsia="Symbol" w:hAnsi="Symbol" w:cs="Symbol"/>
          <w:lang w:val="en-GB" w:eastAsia="ja-JP"/>
        </w:rPr>
        <w:sym w:font="Symbol" w:char="F06D"/>
      </w:r>
      <w:r>
        <w:rPr>
          <w:lang w:val="en-GB" w:eastAsia="ja-JP"/>
        </w:rPr>
        <w:t xml:space="preserve">s) within the transmission burst can be performed without performing additional CCA. With the presence of GP of 1 OFDM symbol (66.67 </w:t>
      </w:r>
      <w:r>
        <w:rPr>
          <w:rFonts w:ascii="Symbol" w:eastAsia="Symbol" w:hAnsi="Symbol" w:cs="Symbol"/>
          <w:lang w:val="en-GB" w:eastAsia="ja-JP"/>
        </w:rPr>
        <w:sym w:font="Symbol" w:char="F06D"/>
      </w:r>
      <w:r>
        <w:rPr>
          <w:lang w:val="en-GB" w:eastAsia="ja-JP"/>
        </w:rPr>
        <w:t xml:space="preserve">s for 15 kHz, 33.3 </w:t>
      </w:r>
      <w:r>
        <w:rPr>
          <w:rFonts w:ascii="Symbol" w:eastAsia="Symbol" w:hAnsi="Symbol" w:cs="Symbol"/>
          <w:lang w:val="en-GB" w:eastAsia="ja-JP"/>
        </w:rPr>
        <w:sym w:font="Symbol" w:char="F06D"/>
      </w:r>
      <w:r>
        <w:rPr>
          <w:lang w:val="en-GB" w:eastAsia="ja-JP"/>
        </w:rPr>
        <w:t xml:space="preserve">s for 30kHz, and 16.67 kHz for 60 kHz plus their corresponding CPs), it is not possible to consider two or more consecutive transmissions from the same UE as a transmission burst. </w:t>
      </w:r>
    </w:p>
    <w:p w14:paraId="418C27B3" w14:textId="77777777" w:rsidR="00362E03" w:rsidRPr="00934A78" w:rsidRDefault="00362E03" w:rsidP="00362E03">
      <w:pPr>
        <w:pStyle w:val="Observation"/>
        <w:ind w:left="1701" w:hanging="1701"/>
      </w:pPr>
      <w:bookmarkStart w:id="20" w:name="_Toc110945362"/>
      <w:bookmarkStart w:id="21" w:name="_Toc127544579"/>
      <w:r w:rsidRPr="00934A78">
        <w:t xml:space="preserve">SL transmissions in consecutive slots from the same UE cannot be considered as a transmission burst </w:t>
      </w:r>
      <w:r>
        <w:t>if the GP is present in every slot</w:t>
      </w:r>
      <w:r w:rsidRPr="00934A78">
        <w:t>.</w:t>
      </w:r>
      <w:bookmarkEnd w:id="20"/>
      <w:bookmarkEnd w:id="21"/>
      <w:r w:rsidRPr="00934A78">
        <w:t xml:space="preserve"> </w:t>
      </w:r>
    </w:p>
    <w:p w14:paraId="7233C1A6" w14:textId="5F0F8A65" w:rsidR="00A76691" w:rsidRDefault="00A76691" w:rsidP="00A95950">
      <w:pPr>
        <w:pStyle w:val="Doc-text2"/>
        <w:ind w:left="0" w:firstLine="0"/>
        <w:jc w:val="both"/>
        <w:rPr>
          <w:lang w:eastAsia="ja-JP"/>
        </w:rPr>
      </w:pPr>
      <w:r>
        <w:rPr>
          <w:lang w:eastAsia="ja-JP"/>
        </w:rPr>
        <w:t xml:space="preserve">The </w:t>
      </w:r>
      <w:r w:rsidR="00606366">
        <w:rPr>
          <w:lang w:eastAsia="ja-JP"/>
        </w:rPr>
        <w:t>consequence of this is</w:t>
      </w:r>
      <w:r w:rsidR="0074587B">
        <w:rPr>
          <w:lang w:eastAsia="ja-JP"/>
        </w:rPr>
        <w:t xml:space="preserve"> an increased number of collisions and a higher degree of contention </w:t>
      </w:r>
      <w:r w:rsidR="000F3A93" w:rsidRPr="0032676F">
        <w:rPr>
          <w:lang w:val="en-US" w:eastAsia="ja-JP"/>
        </w:rPr>
        <w:t xml:space="preserve">induced while </w:t>
      </w:r>
      <w:r w:rsidR="0074587B">
        <w:rPr>
          <w:lang w:eastAsia="ja-JP"/>
        </w:rPr>
        <w:t xml:space="preserve">accessing the channel. </w:t>
      </w:r>
      <w:r w:rsidR="00855E23">
        <w:rPr>
          <w:lang w:eastAsia="ja-JP"/>
        </w:rPr>
        <w:t xml:space="preserve">The difference in performance for a given system configuration </w:t>
      </w:r>
      <w:r w:rsidR="00936804">
        <w:rPr>
          <w:lang w:eastAsia="ja-JP"/>
        </w:rPr>
        <w:t xml:space="preserve"> when using and not using the GP dynamically can be quite severe as i</w:t>
      </w:r>
      <w:r w:rsidR="00A95950">
        <w:rPr>
          <w:lang w:eastAsia="ja-JP"/>
        </w:rPr>
        <w:t xml:space="preserve">llustrated in </w:t>
      </w:r>
      <w:r w:rsidR="00483335">
        <w:rPr>
          <w:lang w:eastAsia="ja-JP"/>
        </w:rPr>
        <w:t xml:space="preserve"> </w:t>
      </w:r>
      <w:r w:rsidR="00483335">
        <w:rPr>
          <w:lang w:eastAsia="ja-JP"/>
        </w:rPr>
        <w:fldChar w:fldCharType="begin"/>
      </w:r>
      <w:r w:rsidR="00483335">
        <w:rPr>
          <w:lang w:eastAsia="ja-JP"/>
        </w:rPr>
        <w:instrText xml:space="preserve"> REF _Ref118707273 \h </w:instrText>
      </w:r>
      <w:r w:rsidR="00483335">
        <w:rPr>
          <w:lang w:eastAsia="ja-JP"/>
        </w:rPr>
      </w:r>
      <w:r w:rsidR="00483335">
        <w:rPr>
          <w:lang w:eastAsia="ja-JP"/>
        </w:rPr>
        <w:fldChar w:fldCharType="separate"/>
      </w:r>
      <w:r w:rsidR="00483335">
        <w:t xml:space="preserve">Figure </w:t>
      </w:r>
      <w:r w:rsidR="00483335">
        <w:rPr>
          <w:noProof/>
        </w:rPr>
        <w:t>1</w:t>
      </w:r>
      <w:r w:rsidR="00483335">
        <w:rPr>
          <w:lang w:eastAsia="ja-JP"/>
        </w:rPr>
        <w:fldChar w:fldCharType="end"/>
      </w:r>
      <w:r w:rsidR="00A95950">
        <w:rPr>
          <w:lang w:eastAsia="ja-JP"/>
        </w:rPr>
        <w:t xml:space="preserve"> (see simulation assumptions in Appendix A.2). </w:t>
      </w:r>
      <w:r w:rsidR="001F434B">
        <w:rPr>
          <w:lang w:eastAsia="ja-JP"/>
        </w:rPr>
        <w:t xml:space="preserve">By using the GP dynamically, the average UPT </w:t>
      </w:r>
      <w:r w:rsidR="00734834">
        <w:rPr>
          <w:lang w:eastAsia="ja-JP"/>
        </w:rPr>
        <w:t xml:space="preserve">increases </w:t>
      </w:r>
      <w:r w:rsidR="00B56FA2">
        <w:rPr>
          <w:lang w:eastAsia="ja-JP"/>
        </w:rPr>
        <w:t xml:space="preserve">175% to </w:t>
      </w:r>
      <w:r w:rsidR="001419D5">
        <w:rPr>
          <w:lang w:eastAsia="ja-JP"/>
        </w:rPr>
        <w:t xml:space="preserve">650% (for </w:t>
      </w:r>
      <w:r w:rsidR="00ED5595">
        <w:rPr>
          <w:lang w:eastAsia="ja-JP"/>
        </w:rPr>
        <w:t>offered loads from 0.5 Mbps to 6.5 Mbps, respectively).</w:t>
      </w:r>
      <w:r w:rsidR="00C46ECA">
        <w:rPr>
          <w:lang w:eastAsia="ja-JP"/>
        </w:rPr>
        <w:t xml:space="preserve"> </w:t>
      </w:r>
    </w:p>
    <w:p w14:paraId="73155608" w14:textId="77777777" w:rsidR="00483335" w:rsidRDefault="005A007A" w:rsidP="00000335">
      <w:pPr>
        <w:pStyle w:val="Doc-text2"/>
        <w:keepNext/>
        <w:ind w:left="0" w:firstLine="0"/>
        <w:jc w:val="center"/>
      </w:pPr>
      <w:r>
        <w:rPr>
          <w:noProof/>
          <w:lang w:eastAsia="ja-JP"/>
        </w:rPr>
        <w:drawing>
          <wp:inline distT="0" distB="0" distL="0" distR="0" wp14:anchorId="0D11F463" wp14:editId="10BAC7BF">
            <wp:extent cx="3600000" cy="2700000"/>
            <wp:effectExtent l="0" t="0" r="63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600000" cy="2700000"/>
                    </a:xfrm>
                    <a:prstGeom prst="rect">
                      <a:avLst/>
                    </a:prstGeom>
                    <a:noFill/>
                    <a:ln>
                      <a:noFill/>
                    </a:ln>
                  </pic:spPr>
                </pic:pic>
              </a:graphicData>
            </a:graphic>
          </wp:inline>
        </w:drawing>
      </w:r>
    </w:p>
    <w:p w14:paraId="44F8B08A" w14:textId="48624B3F" w:rsidR="00A76691" w:rsidRPr="00F956E7" w:rsidRDefault="00483335" w:rsidP="00000335">
      <w:pPr>
        <w:pStyle w:val="Caption"/>
        <w:jc w:val="center"/>
        <w:rPr>
          <w:lang w:eastAsia="ja-JP"/>
        </w:rPr>
      </w:pPr>
      <w:bookmarkStart w:id="22" w:name="_Ref118707273"/>
      <w:r>
        <w:t xml:space="preserve">Figure </w:t>
      </w:r>
      <w:r>
        <w:fldChar w:fldCharType="begin"/>
      </w:r>
      <w:r>
        <w:instrText xml:space="preserve"> SEQ Figure \* ARABIC </w:instrText>
      </w:r>
      <w:r>
        <w:fldChar w:fldCharType="separate"/>
      </w:r>
      <w:r w:rsidR="00466B55">
        <w:rPr>
          <w:noProof/>
        </w:rPr>
        <w:t>5</w:t>
      </w:r>
      <w:r>
        <w:fldChar w:fldCharType="end"/>
      </w:r>
      <w:bookmarkEnd w:id="22"/>
      <w:r w:rsidR="00161BDF">
        <w:t>. Average UPT (</w:t>
      </w:r>
      <w:r w:rsidR="00C06932">
        <w:t xml:space="preserve">over all users) for different </w:t>
      </w:r>
      <w:r w:rsidR="0067377F">
        <w:t>levels of offered load</w:t>
      </w:r>
      <w:r w:rsidR="009A7D17">
        <w:t>.</w:t>
      </w:r>
    </w:p>
    <w:p w14:paraId="006E9859" w14:textId="77777777" w:rsidR="00A76691" w:rsidRPr="00A76691" w:rsidRDefault="00A76691" w:rsidP="00362E03">
      <w:pPr>
        <w:pStyle w:val="Doc-text2"/>
        <w:ind w:left="0" w:firstLine="0"/>
        <w:jc w:val="both"/>
        <w:rPr>
          <w:lang w:eastAsia="ja-JP"/>
        </w:rPr>
      </w:pPr>
    </w:p>
    <w:p w14:paraId="38DBCD61" w14:textId="3AE8A2AC" w:rsidR="00362E03" w:rsidRDefault="00362E03" w:rsidP="00362E03">
      <w:pPr>
        <w:pStyle w:val="Doc-text2"/>
        <w:ind w:left="0" w:firstLine="0"/>
        <w:jc w:val="both"/>
        <w:rPr>
          <w:lang w:val="en-GB"/>
        </w:rPr>
      </w:pPr>
      <w:r>
        <w:rPr>
          <w:lang w:eastAsia="ja-JP"/>
        </w:rPr>
        <w:t>To</w:t>
      </w:r>
      <w:r>
        <w:rPr>
          <w:lang w:val="en-GB"/>
        </w:rPr>
        <w:t xml:space="preserve"> avoid unnecessary CCA, we propose to specify enhancements on the usage of GP depending on the scenario. For example, the GP is not used to maintain an uninterrupted channel occupancy by the UE over consecutive slots as shown in </w:t>
      </w:r>
      <w:r w:rsidRPr="007B603C">
        <w:rPr>
          <w:lang w:val="en-GB"/>
        </w:rPr>
        <w:t xml:space="preserve">Figure </w:t>
      </w:r>
      <w:r w:rsidR="00241B42" w:rsidRPr="007B603C">
        <w:rPr>
          <w:lang w:val="en-GB"/>
        </w:rPr>
        <w:t>1</w:t>
      </w:r>
      <w:r w:rsidRPr="007B603C">
        <w:rPr>
          <w:lang w:val="en-GB"/>
        </w:rPr>
        <w:t>.</w:t>
      </w:r>
      <w:r>
        <w:rPr>
          <w:lang w:val="en-GB"/>
        </w:rPr>
        <w:t xml:space="preserve"> Given that the presence/absence of GP needs to be considered by the receiving UE, it should be indicated as part of SCI. </w:t>
      </w:r>
    </w:p>
    <w:p w14:paraId="6362C36D" w14:textId="77777777" w:rsidR="00362E03" w:rsidRDefault="00362E03" w:rsidP="00362E03">
      <w:pPr>
        <w:pStyle w:val="Doc-text2"/>
        <w:ind w:left="0" w:firstLine="0"/>
      </w:pPr>
    </w:p>
    <w:p w14:paraId="5EF0077C" w14:textId="067ACDCB" w:rsidR="00362E03" w:rsidRPr="00A97FAE" w:rsidRDefault="00F76009" w:rsidP="00362E03">
      <w:pPr>
        <w:pStyle w:val="Proposal"/>
        <w:rPr>
          <w:lang w:val="en-GB"/>
        </w:rPr>
      </w:pPr>
      <w:bookmarkStart w:id="23" w:name="_Toc111113878"/>
      <w:bookmarkStart w:id="24" w:name="_Toc127544551"/>
      <w:r>
        <w:t xml:space="preserve">A UE </w:t>
      </w:r>
      <w:r w:rsidR="00B53EFE">
        <w:t>transmits during the guard period if it intends to transmit</w:t>
      </w:r>
      <w:r w:rsidR="00D64FA3">
        <w:t xml:space="preserve"> </w:t>
      </w:r>
      <w:r w:rsidR="00060A6B">
        <w:t xml:space="preserve">in the </w:t>
      </w:r>
      <w:r w:rsidR="005D5D68">
        <w:t>following symbol</w:t>
      </w:r>
      <w:r w:rsidR="00017501">
        <w:t xml:space="preserve"> (e</w:t>
      </w:r>
      <w:r w:rsidR="00362E03">
        <w:rPr>
          <w:lang w:val="en-GB"/>
        </w:rPr>
        <w:t>.</w:t>
      </w:r>
      <w:bookmarkEnd w:id="23"/>
      <w:r w:rsidR="00017501">
        <w:t>g., when using MCSt)</w:t>
      </w:r>
      <w:r w:rsidR="00381BF8">
        <w:t xml:space="preserve"> if the COT is not exhausted.</w:t>
      </w:r>
      <w:bookmarkEnd w:id="24"/>
    </w:p>
    <w:p w14:paraId="395C068D" w14:textId="77777777" w:rsidR="00362E03" w:rsidRPr="001B4C5D" w:rsidRDefault="00362E03" w:rsidP="00362E03">
      <w:pPr>
        <w:keepNext/>
        <w:jc w:val="center"/>
        <w:rPr>
          <w:b/>
        </w:rPr>
      </w:pPr>
      <w:r w:rsidRPr="001B4C5D">
        <w:rPr>
          <w:b/>
          <w:noProof/>
          <w:lang w:val="en-GB" w:eastAsia="ja-JP"/>
        </w:rPr>
        <w:lastRenderedPageBreak/>
        <w:drawing>
          <wp:inline distT="0" distB="0" distL="0" distR="0" wp14:anchorId="72613EA0" wp14:editId="17AC674E">
            <wp:extent cx="4442771" cy="1661219"/>
            <wp:effectExtent l="0" t="0" r="2540" b="0"/>
            <wp:docPr id="13" name="Picture 7" descr="Timeline&#10;&#10;Description automatically generated with medium confidence">
              <a:extLst xmlns:a="http://schemas.openxmlformats.org/drawingml/2006/main">
                <a:ext uri="{FF2B5EF4-FFF2-40B4-BE49-F238E27FC236}">
                  <a16:creationId xmlns:a16="http://schemas.microsoft.com/office/drawing/2014/main" id="{3B591283-DC69-0045-9B73-2BFDDE2306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imeline&#10;&#10;Description automatically generated with medium confidence">
                      <a:extLst>
                        <a:ext uri="{FF2B5EF4-FFF2-40B4-BE49-F238E27FC236}">
                          <a16:creationId xmlns:a16="http://schemas.microsoft.com/office/drawing/2014/main" id="{3B591283-DC69-0045-9B73-2BFDDE230622}"/>
                        </a:ext>
                      </a:extLst>
                    </pic:cNvPr>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42771" cy="1661219"/>
                    </a:xfrm>
                    <a:prstGeom prst="rect">
                      <a:avLst/>
                    </a:prstGeom>
                    <a:noFill/>
                  </pic:spPr>
                </pic:pic>
              </a:graphicData>
            </a:graphic>
          </wp:inline>
        </w:drawing>
      </w:r>
    </w:p>
    <w:p w14:paraId="1A741549" w14:textId="63D50151" w:rsidR="00362E03" w:rsidRDefault="00362E03" w:rsidP="00362E03">
      <w:pPr>
        <w:pStyle w:val="Caption"/>
        <w:jc w:val="center"/>
      </w:pPr>
      <w:r w:rsidRPr="001B4C5D">
        <w:t xml:space="preserve">Figure </w:t>
      </w:r>
      <w:r w:rsidRPr="001B4C5D">
        <w:fldChar w:fldCharType="begin"/>
      </w:r>
      <w:r w:rsidRPr="001B4C5D">
        <w:instrText xml:space="preserve"> SEQ Figure \* ARABIC </w:instrText>
      </w:r>
      <w:r w:rsidRPr="001B4C5D">
        <w:fldChar w:fldCharType="separate"/>
      </w:r>
      <w:r w:rsidR="00466B55">
        <w:rPr>
          <w:noProof/>
        </w:rPr>
        <w:t>6</w:t>
      </w:r>
      <w:r w:rsidRPr="001B4C5D">
        <w:fldChar w:fldCharType="end"/>
      </w:r>
      <w:r w:rsidRPr="001B4C5D">
        <w:t>: GP is not used while performing SL transmission over consecutive slots.</w:t>
      </w:r>
    </w:p>
    <w:p w14:paraId="389BA0B0" w14:textId="1FEF4B10" w:rsidR="00241B42" w:rsidRPr="009377CB" w:rsidRDefault="00241B42" w:rsidP="00241B42">
      <w:pPr>
        <w:jc w:val="both"/>
        <w:rPr>
          <w:lang w:eastAsia="en-GB"/>
        </w:rPr>
      </w:pPr>
      <w:r>
        <w:rPr>
          <w:lang w:eastAsia="en-GB"/>
        </w:rPr>
        <w:t xml:space="preserve">During the last RAN1 meeting, many companies raised </w:t>
      </w:r>
      <w:r w:rsidR="007B08CE">
        <w:rPr>
          <w:lang w:eastAsia="en-GB"/>
        </w:rPr>
        <w:t>the</w:t>
      </w:r>
      <w:r>
        <w:rPr>
          <w:lang w:eastAsia="en-GB"/>
        </w:rPr>
        <w:t xml:space="preserve"> same issue as we ha</w:t>
      </w:r>
      <w:r w:rsidR="007B08CE">
        <w:rPr>
          <w:lang w:eastAsia="en-GB"/>
        </w:rPr>
        <w:t>ve</w:t>
      </w:r>
      <w:r>
        <w:rPr>
          <w:lang w:eastAsia="en-GB"/>
        </w:rPr>
        <w:t xml:space="preserve"> highlighted in this section, i.e., by reusing the same structure as in legacy SL it is not possible to perform COT sharing due to the UE being without transmitting for too long. Some solutions </w:t>
      </w:r>
      <w:r w:rsidR="007B08CE">
        <w:rPr>
          <w:lang w:eastAsia="en-GB"/>
        </w:rPr>
        <w:t xml:space="preserve">discussed in the previous meeting </w:t>
      </w:r>
      <w:r>
        <w:rPr>
          <w:lang w:eastAsia="en-GB"/>
        </w:rPr>
        <w:t>have defined the procedure to solve it as CP extension (CPE) which consists of extending the CP to maintain access to the unlicensed channel. In our view, CPE and our proposal of enhancing the GP symbol</w:t>
      </w:r>
      <w:r w:rsidR="00F65B75">
        <w:rPr>
          <w:lang w:eastAsia="en-GB"/>
        </w:rPr>
        <w:t>, i.e., not using it as a guard period,</w:t>
      </w:r>
      <w:r>
        <w:rPr>
          <w:lang w:eastAsia="en-GB"/>
        </w:rPr>
        <w:t xml:space="preserve"> goes into the same direction.</w:t>
      </w:r>
      <w:r w:rsidR="009377CB">
        <w:rPr>
          <w:lang w:eastAsia="en-GB"/>
        </w:rPr>
        <w:t xml:space="preserve"> </w:t>
      </w:r>
      <w:r w:rsidR="003B0099">
        <w:rPr>
          <w:lang w:eastAsia="en-GB"/>
        </w:rPr>
        <w:t>Note also that a solution like rate matching, if possible, is preferable from a performance perspective.</w:t>
      </w:r>
    </w:p>
    <w:p w14:paraId="4F0163B9" w14:textId="7935F9A0" w:rsidR="00F27682" w:rsidRPr="00A97FAE" w:rsidRDefault="00F27682" w:rsidP="00F27682">
      <w:pPr>
        <w:pStyle w:val="Proposal"/>
        <w:rPr>
          <w:lang w:val="en-GB"/>
        </w:rPr>
      </w:pPr>
      <w:bookmarkStart w:id="25" w:name="_Toc127544552"/>
      <w:r>
        <w:t>If</w:t>
      </w:r>
      <w:r w:rsidR="006F541E">
        <w:t xml:space="preserve"> the </w:t>
      </w:r>
      <w:r w:rsidR="009E1D3B">
        <w:t>GP symbol is not used, then it carries PSSCH symbols</w:t>
      </w:r>
      <w:r>
        <w:t>.</w:t>
      </w:r>
      <w:bookmarkEnd w:id="25"/>
    </w:p>
    <w:p w14:paraId="0F2B8B14" w14:textId="16AC3F96" w:rsidR="00430D29" w:rsidRDefault="00313AAD" w:rsidP="004B0CBE">
      <w:pPr>
        <w:pStyle w:val="Heading1"/>
      </w:pPr>
      <w:r>
        <w:t>3</w:t>
      </w:r>
      <w:r>
        <w:tab/>
      </w:r>
      <w:r w:rsidR="005D1022">
        <w:t xml:space="preserve">Mode-2 </w:t>
      </w:r>
    </w:p>
    <w:p w14:paraId="4586B346" w14:textId="7C5B3C8C" w:rsidR="008C761C" w:rsidRDefault="008C761C" w:rsidP="00064AF6">
      <w:pPr>
        <w:pStyle w:val="Heading2"/>
      </w:pPr>
      <w:r>
        <w:t>3.1</w:t>
      </w:r>
      <w:r w:rsidR="00064AF6">
        <w:tab/>
      </w:r>
      <w:r>
        <w:t>Resource allocation procedure</w:t>
      </w:r>
    </w:p>
    <w:p w14:paraId="460E0901" w14:textId="77777777" w:rsidR="004744E0" w:rsidRDefault="004744E0" w:rsidP="004744E0">
      <w:pPr>
        <w:pStyle w:val="BodyText"/>
        <w:spacing w:before="240"/>
      </w:pPr>
      <w:r>
        <w:t>The following agreements were made in RAN1#109:</w:t>
      </w:r>
    </w:p>
    <w:tbl>
      <w:tblPr>
        <w:tblStyle w:val="TableGrid"/>
        <w:tblW w:w="0" w:type="auto"/>
        <w:tblLook w:val="04A0" w:firstRow="1" w:lastRow="0" w:firstColumn="1" w:lastColumn="0" w:noHBand="0" w:noVBand="1"/>
      </w:tblPr>
      <w:tblGrid>
        <w:gridCol w:w="9629"/>
      </w:tblGrid>
      <w:tr w:rsidR="00331C1F" w14:paraId="454E8D42" w14:textId="77777777" w:rsidTr="002A2D64">
        <w:tc>
          <w:tcPr>
            <w:tcW w:w="9629" w:type="dxa"/>
          </w:tcPr>
          <w:p w14:paraId="237C34B9" w14:textId="77777777" w:rsidR="004744E0" w:rsidRPr="0032676F" w:rsidRDefault="004744E0" w:rsidP="0032676F">
            <w:pPr>
              <w:rPr>
                <w:rFonts w:ascii="Times New Roman" w:eastAsia="Batang" w:hAnsi="Times New Roman" w:cs="Times New Roman"/>
                <w:b/>
                <w:sz w:val="20"/>
                <w:szCs w:val="20"/>
                <w:highlight w:val="green"/>
                <w:lang w:val="en-GB"/>
              </w:rPr>
            </w:pPr>
            <w:r w:rsidRPr="0032676F">
              <w:rPr>
                <w:rFonts w:ascii="Times New Roman" w:eastAsia="Batang" w:hAnsi="Times New Roman" w:cs="Times New Roman"/>
                <w:b/>
                <w:szCs w:val="20"/>
                <w:highlight w:val="green"/>
                <w:lang w:val="en-GB"/>
              </w:rPr>
              <w:t>Agreement</w:t>
            </w:r>
          </w:p>
          <w:p w14:paraId="6EFF557A" w14:textId="77777777" w:rsidR="004744E0" w:rsidRPr="00BB7FB8" w:rsidRDefault="004744E0" w:rsidP="002A2D64">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The existing sidelink mode 1 RA including dynamic grant, Type 1 and Type 2 configured grants are supported as a baseline for sidelink operation in a shared carrier, subject to applicable regional regulations. At least in dynamic channel access, SL UE performs Type 1 or one of the Type 2 LBTs before SL</w:t>
            </w:r>
            <w:r w:rsidRPr="00BB7FB8">
              <w:rPr>
                <w:rFonts w:ascii="Times New Roman" w:eastAsia="Batang" w:hAnsi="Times New Roman" w:cs="Times New Roman"/>
                <w:strike/>
                <w:sz w:val="20"/>
                <w:szCs w:val="20"/>
                <w:lang w:val="en-GB" w:eastAsia="x-none"/>
              </w:rPr>
              <w:t xml:space="preserve"> </w:t>
            </w:r>
            <w:r w:rsidRPr="00BB7FB8">
              <w:rPr>
                <w:rFonts w:ascii="Times New Roman" w:eastAsia="Batang" w:hAnsi="Times New Roman" w:cs="Times New Roman"/>
                <w:sz w:val="20"/>
                <w:szCs w:val="20"/>
                <w:lang w:val="en-GB" w:eastAsia="x-none"/>
              </w:rPr>
              <w:t>transmission using the allocated resource(s), in compliance with transmission gap and LBT sensing idle time requirements specified in TS37.213.</w:t>
            </w:r>
          </w:p>
          <w:p w14:paraId="547F12F8" w14:textId="77777777" w:rsidR="004744E0" w:rsidRPr="00BB7FB8" w:rsidRDefault="004744E0" w:rsidP="002A2D64">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AU" w:eastAsia="x-none"/>
              </w:rPr>
              <w:t>FFS whether/how mode 1 resource allocation procedure needs to be updated / enhanced due to shared spectrum channel access</w:t>
            </w:r>
          </w:p>
          <w:p w14:paraId="2A07926E" w14:textId="77777777" w:rsidR="004744E0" w:rsidRPr="00BB7FB8" w:rsidRDefault="004744E0" w:rsidP="002A2D64">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The existing sidelink mode 2 RA schemes are supported as a baseline for sidelink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7F8953BC" w14:textId="77777777" w:rsidR="004744E0" w:rsidRPr="00BB7FB8" w:rsidRDefault="004744E0" w:rsidP="002A2D64">
            <w:pPr>
              <w:numPr>
                <w:ilvl w:val="1"/>
                <w:numId w:val="27"/>
              </w:numPr>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AU" w:eastAsia="x-none"/>
              </w:rPr>
              <w:t>FFS whether/how mode 2 resource selection procedure needs to be updated / enhanced due to shared spectrum channel access</w:t>
            </w:r>
          </w:p>
          <w:p w14:paraId="525E41F7" w14:textId="77777777" w:rsidR="004744E0" w:rsidRPr="00BB7FB8" w:rsidRDefault="004744E0" w:rsidP="002A2D64">
            <w:pPr>
              <w:numPr>
                <w:ilvl w:val="0"/>
                <w:numId w:val="27"/>
              </w:numPr>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FFS whether/how multi-consecutive slots transmission can be supported for NR sidelink operation in unlicensed spectrum, including the following aspects</w:t>
            </w:r>
          </w:p>
          <w:p w14:paraId="05158583" w14:textId="77777777" w:rsidR="004744E0" w:rsidRPr="00BB7FB8" w:rsidRDefault="004744E0" w:rsidP="002A2D64">
            <w:pPr>
              <w:numPr>
                <w:ilvl w:val="1"/>
                <w:numId w:val="27"/>
              </w:numPr>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channel access, resource allocation and PHY channel design</w:t>
            </w:r>
          </w:p>
          <w:p w14:paraId="25AFB1D5" w14:textId="77777777" w:rsidR="004744E0" w:rsidRPr="00BB7FB8" w:rsidRDefault="004744E0" w:rsidP="002A2D64">
            <w:pPr>
              <w:numPr>
                <w:ilvl w:val="0"/>
                <w:numId w:val="27"/>
              </w:numPr>
              <w:spacing w:after="0"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FFS whether/how enhancement is needed between the end of the LBT procedure and the start of the SL transmission to retain channel access</w:t>
            </w:r>
          </w:p>
          <w:p w14:paraId="6045F78B" w14:textId="77777777" w:rsidR="004744E0" w:rsidRPr="00967361" w:rsidRDefault="004744E0" w:rsidP="002A2D64">
            <w:pPr>
              <w:numPr>
                <w:ilvl w:val="0"/>
                <w:numId w:val="27"/>
              </w:numPr>
              <w:spacing w:line="240" w:lineRule="auto"/>
              <w:jc w:val="both"/>
              <w:rPr>
                <w:rFonts w:ascii="Times New Roman" w:eastAsia="Batang" w:hAnsi="Times New Roman" w:cs="Times New Roman"/>
                <w:sz w:val="20"/>
                <w:szCs w:val="20"/>
                <w:lang w:val="en-GB" w:eastAsia="x-none"/>
              </w:rPr>
            </w:pPr>
            <w:r w:rsidRPr="00BB7FB8">
              <w:rPr>
                <w:rFonts w:ascii="Times New Roman" w:eastAsia="Batang" w:hAnsi="Times New Roman" w:cs="Times New Roman"/>
                <w:sz w:val="20"/>
                <w:szCs w:val="20"/>
                <w:lang w:val="en-GB" w:eastAsia="x-none"/>
              </w:rPr>
              <w:t>RAN1 to strive for a common solution for channel access for Mode 1 and Mode 2</w:t>
            </w:r>
          </w:p>
        </w:tc>
      </w:tr>
    </w:tbl>
    <w:p w14:paraId="5FC1F459" w14:textId="74053EA2" w:rsidR="001A5286" w:rsidRDefault="00C601F9" w:rsidP="00CC75F4">
      <w:pPr>
        <w:spacing w:before="240"/>
        <w:jc w:val="both"/>
        <w:rPr>
          <w:lang w:val="en-GB" w:eastAsia="ja-JP"/>
        </w:rPr>
      </w:pPr>
      <w:r w:rsidRPr="00F9211F">
        <w:rPr>
          <w:lang w:val="en-GB" w:eastAsia="ja-JP"/>
        </w:rPr>
        <w:t xml:space="preserve">In this section, we discuss </w:t>
      </w:r>
      <w:r w:rsidR="00505D36" w:rsidRPr="00F9211F">
        <w:rPr>
          <w:lang w:val="en-GB" w:eastAsia="ja-JP"/>
        </w:rPr>
        <w:t xml:space="preserve">how the functionalities of mode-2 based resource allocation procedure of SL can be used together with CCA/LBT procedures </w:t>
      </w:r>
      <w:r w:rsidR="00F9211F" w:rsidRPr="00F9211F">
        <w:rPr>
          <w:lang w:val="en-GB" w:eastAsia="ja-JP"/>
        </w:rPr>
        <w:t xml:space="preserve">mandated by regulations. </w:t>
      </w:r>
      <w:r w:rsidR="001F0791">
        <w:rPr>
          <w:lang w:val="en-GB" w:eastAsia="ja-JP"/>
        </w:rPr>
        <w:t xml:space="preserve">We present corresponding simulation results in </w:t>
      </w:r>
      <w:r w:rsidR="002F05E1" w:rsidRPr="00AD3670">
        <w:rPr>
          <w:lang w:val="en-GB" w:eastAsia="ja-JP"/>
        </w:rPr>
        <w:t>Section 3.</w:t>
      </w:r>
      <w:r w:rsidR="00C37E41" w:rsidRPr="00AD3670">
        <w:rPr>
          <w:lang w:eastAsia="ja-JP"/>
        </w:rPr>
        <w:t>5</w:t>
      </w:r>
      <w:r w:rsidR="002F05E1" w:rsidRPr="00AD3670">
        <w:rPr>
          <w:lang w:val="en-GB" w:eastAsia="ja-JP"/>
        </w:rPr>
        <w:t>.</w:t>
      </w:r>
    </w:p>
    <w:p w14:paraId="00A08BB0" w14:textId="3ABE3BE4" w:rsidR="004C7F8D" w:rsidRDefault="00C4181B" w:rsidP="003F27F2">
      <w:pPr>
        <w:jc w:val="both"/>
        <w:rPr>
          <w:lang w:val="en-GB" w:eastAsia="ja-JP"/>
        </w:rPr>
      </w:pPr>
      <w:r>
        <w:rPr>
          <w:lang w:val="en-GB" w:eastAsia="ja-JP"/>
        </w:rPr>
        <w:t>To</w:t>
      </w:r>
      <w:r w:rsidR="00782992">
        <w:rPr>
          <w:lang w:val="en-GB" w:eastAsia="ja-JP"/>
        </w:rPr>
        <w:t xml:space="preserve"> reuse as much as Rel. 16 mode-2 based resource allocation procedure</w:t>
      </w:r>
      <w:r w:rsidR="00AB76E7">
        <w:rPr>
          <w:lang w:val="en-GB" w:eastAsia="ja-JP"/>
        </w:rPr>
        <w:t xml:space="preserve"> and exploit the advantage of early transmissions in unlicensed spectrum, we propose </w:t>
      </w:r>
      <w:r w:rsidR="008F18E1">
        <w:rPr>
          <w:lang w:val="en-GB" w:eastAsia="ja-JP"/>
        </w:rPr>
        <w:t>t</w:t>
      </w:r>
      <w:r w:rsidR="00266D27">
        <w:rPr>
          <w:lang w:val="en-GB" w:eastAsia="ja-JP"/>
        </w:rPr>
        <w:t>he procedure</w:t>
      </w:r>
      <w:r w:rsidR="00854ABA">
        <w:rPr>
          <w:lang w:val="en-GB" w:eastAsia="ja-JP"/>
        </w:rPr>
        <w:t xml:space="preserve"> in</w:t>
      </w:r>
      <w:r w:rsidR="00266D27">
        <w:rPr>
          <w:lang w:val="en-GB" w:eastAsia="ja-JP"/>
        </w:rPr>
        <w:t xml:space="preserve"> </w:t>
      </w:r>
      <w:r w:rsidR="00854ABA">
        <w:rPr>
          <w:lang w:val="en-GB" w:eastAsia="ja-JP"/>
        </w:rPr>
        <w:fldChar w:fldCharType="begin"/>
      </w:r>
      <w:r w:rsidR="00854ABA">
        <w:rPr>
          <w:lang w:val="en-GB" w:eastAsia="ja-JP"/>
        </w:rPr>
        <w:instrText xml:space="preserve"> REF _Ref111134980 \h </w:instrText>
      </w:r>
      <w:r w:rsidR="00854ABA">
        <w:rPr>
          <w:lang w:val="en-GB" w:eastAsia="ja-JP"/>
        </w:rPr>
      </w:r>
      <w:r w:rsidR="00854ABA">
        <w:rPr>
          <w:lang w:val="en-GB" w:eastAsia="ja-JP"/>
        </w:rPr>
        <w:fldChar w:fldCharType="separate"/>
      </w:r>
      <w:r w:rsidR="00477B8A">
        <w:t xml:space="preserve">Table </w:t>
      </w:r>
      <w:r w:rsidR="00477B8A">
        <w:rPr>
          <w:noProof/>
        </w:rPr>
        <w:t>2</w:t>
      </w:r>
      <w:r w:rsidR="00854ABA">
        <w:rPr>
          <w:lang w:val="en-GB" w:eastAsia="ja-JP"/>
        </w:rPr>
        <w:fldChar w:fldCharType="end"/>
      </w:r>
      <w:r w:rsidR="00854ABA">
        <w:rPr>
          <w:lang w:val="en-GB" w:eastAsia="ja-JP"/>
        </w:rPr>
        <w:t>.</w:t>
      </w:r>
    </w:p>
    <w:p w14:paraId="43196117" w14:textId="65B1B3F6" w:rsidR="00854ABA" w:rsidRDefault="00854ABA" w:rsidP="007B603C">
      <w:pPr>
        <w:pStyle w:val="Caption"/>
        <w:keepNext/>
        <w:jc w:val="center"/>
      </w:pPr>
      <w:bookmarkStart w:id="26" w:name="_Ref111134980"/>
      <w:r>
        <w:lastRenderedPageBreak/>
        <w:t xml:space="preserve">Table </w:t>
      </w:r>
      <w:r>
        <w:fldChar w:fldCharType="begin"/>
      </w:r>
      <w:r>
        <w:instrText xml:space="preserve"> SEQ Table \* ARABIC </w:instrText>
      </w:r>
      <w:r>
        <w:fldChar w:fldCharType="separate"/>
      </w:r>
      <w:r w:rsidR="00477B8A">
        <w:rPr>
          <w:noProof/>
        </w:rPr>
        <w:t>2</w:t>
      </w:r>
      <w:r>
        <w:fldChar w:fldCharType="end"/>
      </w:r>
      <w:bookmarkEnd w:id="26"/>
      <w:r>
        <w:t>. Proposed procedure for Mode 2 RA</w:t>
      </w:r>
    </w:p>
    <w:tbl>
      <w:tblPr>
        <w:tblStyle w:val="TableGrid"/>
        <w:tblW w:w="0" w:type="auto"/>
        <w:tblLook w:val="04A0" w:firstRow="1" w:lastRow="0" w:firstColumn="1" w:lastColumn="0" w:noHBand="0" w:noVBand="1"/>
      </w:tblPr>
      <w:tblGrid>
        <w:gridCol w:w="9629"/>
      </w:tblGrid>
      <w:tr w:rsidR="00854ABA" w14:paraId="7D514618" w14:textId="77777777" w:rsidTr="00854ABA">
        <w:tc>
          <w:tcPr>
            <w:tcW w:w="9629" w:type="dxa"/>
          </w:tcPr>
          <w:p w14:paraId="3D4BE5E3" w14:textId="77777777" w:rsidR="00854ABA" w:rsidRPr="007B603C" w:rsidRDefault="00854ABA" w:rsidP="007B603C">
            <w:pPr>
              <w:spacing w:before="240"/>
              <w:rPr>
                <w:rStyle w:val="IvDbodytextChar"/>
                <w:rFonts w:ascii="Calibri" w:hAnsi="Calibri"/>
                <w:spacing w:val="0"/>
                <w:lang w:val="en-GB" w:eastAsia="ja-JP"/>
              </w:rPr>
            </w:pPr>
            <w:r w:rsidRPr="007B603C">
              <w:rPr>
                <w:b/>
                <w:bCs/>
                <w:i/>
                <w:iCs/>
                <w:sz w:val="20"/>
                <w:lang w:val="en-GB" w:eastAsia="ja-JP"/>
              </w:rPr>
              <w:t>Step 1</w:t>
            </w:r>
            <w:r w:rsidRPr="007B603C">
              <w:rPr>
                <w:i/>
                <w:iCs/>
                <w:sz w:val="20"/>
                <w:lang w:val="en-GB" w:eastAsia="ja-JP"/>
              </w:rPr>
              <w:t xml:space="preserve">: </w:t>
            </w:r>
            <w:r w:rsidRPr="007B603C">
              <w:rPr>
                <w:rStyle w:val="IvDbodytextChar"/>
                <w:sz w:val="20"/>
                <w:szCs w:val="20"/>
              </w:rPr>
              <w:t>A UE performs sensing and resource selection based on the resource selection procedures specified in SL Rel-16 (or Rel-17), to select resources for an initial transmission and possibly for some retransmissions of a TB.</w:t>
            </w:r>
          </w:p>
          <w:p w14:paraId="6C791CC3" w14:textId="19A1D07F" w:rsidR="00854ABA" w:rsidRPr="007B603C" w:rsidRDefault="00854ABA" w:rsidP="007B603C">
            <w:pPr>
              <w:rPr>
                <w:lang w:val="en-GB" w:eastAsia="ja-JP"/>
              </w:rPr>
            </w:pPr>
            <w:r w:rsidRPr="007B603C">
              <w:rPr>
                <w:b/>
                <w:bCs/>
                <w:i/>
                <w:iCs/>
                <w:sz w:val="20"/>
                <w:lang w:val="en-GB" w:eastAsia="ja-JP"/>
              </w:rPr>
              <w:t>Step 2</w:t>
            </w:r>
            <w:r w:rsidRPr="007B603C">
              <w:rPr>
                <w:i/>
                <w:iCs/>
                <w:sz w:val="20"/>
                <w:lang w:val="en-GB" w:eastAsia="ja-JP"/>
              </w:rPr>
              <w:t>:</w:t>
            </w:r>
            <w:r w:rsidRPr="007B603C">
              <w:rPr>
                <w:sz w:val="20"/>
                <w:lang w:val="en-GB" w:eastAsia="ja-JP"/>
              </w:rPr>
              <w:t xml:space="preserve"> </w:t>
            </w:r>
            <w:r w:rsidRPr="007B603C">
              <w:rPr>
                <w:rStyle w:val="IvDbodytextChar"/>
                <w:sz w:val="20"/>
                <w:szCs w:val="20"/>
              </w:rPr>
              <w:t>The UE starts performing CCA/LBT as soon as the packet arrives at the buffer and in addition also selects the first available resource (from the set of available resources) when the channel is found to be available by LBT procedure. We call this a</w:t>
            </w:r>
            <w:r w:rsidR="00466D59">
              <w:rPr>
                <w:rStyle w:val="IvDbodytextChar"/>
                <w:sz w:val="20"/>
                <w:szCs w:val="20"/>
              </w:rPr>
              <w:t>n</w:t>
            </w:r>
            <w:r w:rsidRPr="007B603C">
              <w:rPr>
                <w:rStyle w:val="IvDbodytextChar"/>
                <w:sz w:val="20"/>
                <w:szCs w:val="20"/>
              </w:rPr>
              <w:t xml:space="preserve"> opportunistic transmission. In case the channel is not found to be available by LBT procedure before the initially selected resource, the UE waits to transmit on the initially selected resource.</w:t>
            </w:r>
          </w:p>
        </w:tc>
      </w:tr>
    </w:tbl>
    <w:p w14:paraId="772E93E3" w14:textId="57537141" w:rsidR="00A85379" w:rsidRPr="00241DDB" w:rsidRDefault="00792DDC" w:rsidP="006E4E14">
      <w:pPr>
        <w:spacing w:before="120"/>
        <w:jc w:val="both"/>
      </w:pPr>
      <w:r>
        <w:rPr>
          <w:lang w:val="en-GB" w:eastAsia="ja-JP"/>
        </w:rPr>
        <w:t xml:space="preserve">The procedure in </w:t>
      </w:r>
      <w:r>
        <w:rPr>
          <w:lang w:val="en-GB" w:eastAsia="ja-JP"/>
        </w:rPr>
        <w:fldChar w:fldCharType="begin"/>
      </w:r>
      <w:r>
        <w:rPr>
          <w:lang w:val="en-GB" w:eastAsia="ja-JP"/>
        </w:rPr>
        <w:instrText xml:space="preserve"> REF _Ref111134980 \h </w:instrText>
      </w:r>
      <w:r>
        <w:rPr>
          <w:lang w:val="en-GB" w:eastAsia="ja-JP"/>
        </w:rPr>
      </w:r>
      <w:r>
        <w:rPr>
          <w:lang w:val="en-GB" w:eastAsia="ja-JP"/>
        </w:rPr>
        <w:fldChar w:fldCharType="separate"/>
      </w:r>
      <w:r>
        <w:t xml:space="preserve">Table </w:t>
      </w:r>
      <w:r>
        <w:rPr>
          <w:noProof/>
        </w:rPr>
        <w:t>2</w:t>
      </w:r>
      <w:r>
        <w:rPr>
          <w:lang w:val="en-GB" w:eastAsia="ja-JP"/>
        </w:rPr>
        <w:fldChar w:fldCharType="end"/>
      </w:r>
      <w:r>
        <w:rPr>
          <w:lang w:val="en-GB" w:eastAsia="ja-JP"/>
        </w:rPr>
        <w:t xml:space="preserve">, allows for reusing the Rel-16 procedure without </w:t>
      </w:r>
      <w:r w:rsidR="00E74CBE">
        <w:rPr>
          <w:lang w:val="en-GB" w:eastAsia="ja-JP"/>
        </w:rPr>
        <w:t xml:space="preserve">sacrificing channel access latency. </w:t>
      </w:r>
      <w:r w:rsidR="00BD4106" w:rsidRPr="00241DDB">
        <w:t xml:space="preserve">We illustrate this procedure in </w:t>
      </w:r>
      <w:r w:rsidR="00374759">
        <w:fldChar w:fldCharType="begin"/>
      </w:r>
      <w:r w:rsidR="00374759">
        <w:instrText xml:space="preserve"> REF _Ref101987411 \h </w:instrText>
      </w:r>
      <w:r w:rsidR="00374759">
        <w:fldChar w:fldCharType="separate"/>
      </w:r>
      <w:r w:rsidR="00E73078">
        <w:t xml:space="preserve">Figure 3 </w:t>
      </w:r>
      <w:r w:rsidR="00374759">
        <w:fldChar w:fldCharType="end"/>
      </w:r>
      <w:r w:rsidR="00374759">
        <w:t xml:space="preserve"> </w:t>
      </w:r>
      <w:r w:rsidR="00BD4106" w:rsidRPr="00241DDB">
        <w:t xml:space="preserve">below. </w:t>
      </w:r>
    </w:p>
    <w:p w14:paraId="5AC313E9" w14:textId="77777777" w:rsidR="00374759" w:rsidRDefault="00C5228C" w:rsidP="00DA2CE5">
      <w:pPr>
        <w:keepNext/>
        <w:spacing w:before="180"/>
        <w:jc w:val="center"/>
      </w:pPr>
      <w:r>
        <w:rPr>
          <w:noProof/>
        </w:rPr>
        <w:drawing>
          <wp:inline distT="0" distB="0" distL="0" distR="0" wp14:anchorId="179A01A8" wp14:editId="3F1E0289">
            <wp:extent cx="5449888" cy="373638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56191" cy="3740708"/>
                    </a:xfrm>
                    <a:prstGeom prst="rect">
                      <a:avLst/>
                    </a:prstGeom>
                  </pic:spPr>
                </pic:pic>
              </a:graphicData>
            </a:graphic>
          </wp:inline>
        </w:drawing>
      </w:r>
    </w:p>
    <w:p w14:paraId="738004FC" w14:textId="0D679BCC" w:rsidR="00BD4106" w:rsidRDefault="00374759" w:rsidP="00DA2CE5">
      <w:pPr>
        <w:pStyle w:val="Caption"/>
        <w:jc w:val="center"/>
        <w:rPr>
          <w:rStyle w:val="IvDbodytextChar"/>
          <w:rFonts w:ascii="Calibri" w:hAnsi="Calibri"/>
          <w:spacing w:val="0"/>
          <w:sz w:val="22"/>
          <w:lang w:val="en-GB" w:eastAsia="ja-JP"/>
        </w:rPr>
      </w:pPr>
      <w:bookmarkStart w:id="27" w:name="_Ref101987411"/>
      <w:r>
        <w:t xml:space="preserve">Figure </w:t>
      </w:r>
      <w:r>
        <w:fldChar w:fldCharType="begin"/>
      </w:r>
      <w:r>
        <w:instrText xml:space="preserve"> SEQ Figure \* ARABIC </w:instrText>
      </w:r>
      <w:r>
        <w:fldChar w:fldCharType="separate"/>
      </w:r>
      <w:r w:rsidR="00466B55">
        <w:rPr>
          <w:noProof/>
        </w:rPr>
        <w:t>7</w:t>
      </w:r>
      <w:r>
        <w:fldChar w:fldCharType="end"/>
      </w:r>
      <w:bookmarkEnd w:id="27"/>
      <w:r>
        <w:t>.</w:t>
      </w:r>
      <w:r w:rsidRPr="00374759">
        <w:t xml:space="preserve"> Resource allocation procedure with LBT on top and opportunistic transmission.</w:t>
      </w:r>
      <w:r w:rsidR="00116FF0">
        <w:t xml:space="preserve"> At time t=n, the UE selects </w:t>
      </w:r>
      <w:r w:rsidR="00414145">
        <w:t xml:space="preserve">4 resources (in green) for transmission </w:t>
      </w:r>
      <w:r w:rsidR="0019662D">
        <w:t>of a TB</w:t>
      </w:r>
      <w:r w:rsidR="004642A7">
        <w:t xml:space="preserve">. The selection is made using the sensing results based on the legacy procedures. At the same time, </w:t>
      </w:r>
      <w:r w:rsidR="00476DBE">
        <w:t>the UE starts performing LBT</w:t>
      </w:r>
      <w:r w:rsidR="00247B0E">
        <w:t>. Prior</w:t>
      </w:r>
      <w:r w:rsidR="006B7C6E">
        <w:t xml:space="preserve"> </w:t>
      </w:r>
      <w:r w:rsidR="0011289D">
        <w:t>to the first selected resource (left</w:t>
      </w:r>
      <w:r w:rsidR="00D131CE">
        <w:t>most green box)</w:t>
      </w:r>
      <w:r w:rsidR="00DE0FBD">
        <w:t xml:space="preserve">, the UE completes the LBT procedure </w:t>
      </w:r>
      <w:r w:rsidR="00856D2D">
        <w:t>and fin</w:t>
      </w:r>
      <w:r w:rsidR="00081C10">
        <w:t>d</w:t>
      </w:r>
      <w:r w:rsidR="00E23964">
        <w:t>s an ea</w:t>
      </w:r>
      <w:r w:rsidR="000A57D5">
        <w:t xml:space="preserve">rlier resource </w:t>
      </w:r>
      <w:r w:rsidR="00066A41">
        <w:t xml:space="preserve">(in orange) </w:t>
      </w:r>
      <w:r w:rsidR="000A57D5">
        <w:t xml:space="preserve">that is available for transmission </w:t>
      </w:r>
      <w:r w:rsidR="00AD4D9F">
        <w:t>according to</w:t>
      </w:r>
      <w:r w:rsidR="00293CBA">
        <w:t xml:space="preserve"> the </w:t>
      </w:r>
      <w:r w:rsidR="00AD4D9F">
        <w:t xml:space="preserve">sensing results. </w:t>
      </w:r>
      <w:r w:rsidR="00066A41">
        <w:t xml:space="preserve">This allows </w:t>
      </w:r>
      <w:r w:rsidR="0063165F">
        <w:t xml:space="preserve">the UE </w:t>
      </w:r>
      <w:r w:rsidR="00066A41">
        <w:t>to perform</w:t>
      </w:r>
      <w:r w:rsidR="0063165F">
        <w:t xml:space="preserve"> the first transmission </w:t>
      </w:r>
      <w:r w:rsidR="00066A41">
        <w:t xml:space="preserve">earlier, </w:t>
      </w:r>
      <w:r w:rsidR="0063165F">
        <w:t>in an opportunistic manner.</w:t>
      </w:r>
      <w:r w:rsidR="00AD4D9F">
        <w:t xml:space="preserve"> </w:t>
      </w:r>
    </w:p>
    <w:p w14:paraId="0D9D64F7" w14:textId="0DE2D375" w:rsidR="00C25760" w:rsidRPr="00DA2CE5" w:rsidRDefault="00893EDB" w:rsidP="007B603C">
      <w:pPr>
        <w:spacing w:before="180"/>
        <w:jc w:val="both"/>
        <w:rPr>
          <w:rStyle w:val="IvDbodytextChar"/>
          <w:rFonts w:cs="Arial"/>
          <w:b/>
          <w:spacing w:val="0"/>
          <w:szCs w:val="20"/>
          <w:lang w:val="en-GB" w:eastAsia="ja-JP"/>
        </w:rPr>
      </w:pPr>
      <w:r>
        <w:rPr>
          <w:rStyle w:val="IvDbodytextChar"/>
          <w:rFonts w:cs="Arial"/>
          <w:spacing w:val="0"/>
          <w:szCs w:val="20"/>
          <w:lang w:eastAsia="ja-JP"/>
        </w:rPr>
        <w:t xml:space="preserve">The benefits of this approach are shown in Section </w:t>
      </w:r>
      <w:r w:rsidR="00180D46">
        <w:rPr>
          <w:rStyle w:val="IvDbodytextChar"/>
          <w:rFonts w:cs="Arial"/>
          <w:spacing w:val="0"/>
          <w:szCs w:val="20"/>
          <w:lang w:eastAsia="ja-JP"/>
        </w:rPr>
        <w:t>3.</w:t>
      </w:r>
      <w:r w:rsidR="00750ECC">
        <w:rPr>
          <w:rStyle w:val="IvDbodytextChar"/>
          <w:rFonts w:cs="Arial"/>
          <w:spacing w:val="0"/>
          <w:szCs w:val="20"/>
          <w:lang w:eastAsia="ja-JP"/>
        </w:rPr>
        <w:t>5</w:t>
      </w:r>
      <w:r w:rsidR="00180D46">
        <w:rPr>
          <w:rStyle w:val="IvDbodytextChar"/>
          <w:rFonts w:cs="Arial"/>
          <w:spacing w:val="0"/>
          <w:szCs w:val="20"/>
          <w:lang w:eastAsia="ja-JP"/>
        </w:rPr>
        <w:t xml:space="preserve">. </w:t>
      </w:r>
      <w:r w:rsidR="00A07CFD" w:rsidRPr="00DA2CE5">
        <w:rPr>
          <w:rStyle w:val="IvDbodytextChar"/>
          <w:rFonts w:cs="Arial"/>
          <w:spacing w:val="0"/>
          <w:szCs w:val="20"/>
          <w:lang w:val="en-GB" w:eastAsia="ja-JP"/>
        </w:rPr>
        <w:t xml:space="preserve">Based </w:t>
      </w:r>
      <w:r w:rsidR="00971A29" w:rsidRPr="00DA2CE5">
        <w:rPr>
          <w:rStyle w:val="IvDbodytextChar"/>
          <w:rFonts w:cs="Arial"/>
          <w:spacing w:val="0"/>
          <w:szCs w:val="20"/>
          <w:lang w:val="en-GB" w:eastAsia="ja-JP"/>
        </w:rPr>
        <w:t>on th</w:t>
      </w:r>
      <w:r w:rsidR="002A05A2">
        <w:rPr>
          <w:rStyle w:val="IvDbodytextChar"/>
          <w:rFonts w:cs="Arial"/>
          <w:spacing w:val="0"/>
          <w:szCs w:val="20"/>
          <w:lang w:eastAsia="ja-JP"/>
        </w:rPr>
        <w:t>is discussion</w:t>
      </w:r>
      <w:r w:rsidR="00971A29" w:rsidRPr="00DA2CE5">
        <w:rPr>
          <w:rStyle w:val="IvDbodytextChar"/>
          <w:rFonts w:cs="Arial"/>
          <w:spacing w:val="0"/>
          <w:szCs w:val="20"/>
          <w:lang w:val="en-GB" w:eastAsia="ja-JP"/>
        </w:rPr>
        <w:t xml:space="preserve">, we have the following proposal. </w:t>
      </w:r>
    </w:p>
    <w:p w14:paraId="4B4C079C" w14:textId="7CDFA628" w:rsidR="00971A29" w:rsidRPr="00DA2CE5" w:rsidRDefault="007B75E0" w:rsidP="00971A29">
      <w:pPr>
        <w:pStyle w:val="Proposal"/>
        <w:rPr>
          <w:rStyle w:val="IvDbodytextChar"/>
          <w:rFonts w:cs="Arial"/>
          <w:spacing w:val="0"/>
          <w:szCs w:val="20"/>
          <w:lang w:val="en-GB" w:eastAsia="ja-JP"/>
        </w:rPr>
      </w:pPr>
      <w:bookmarkStart w:id="28" w:name="_Toc127544553"/>
      <w:r>
        <w:rPr>
          <w:rStyle w:val="IvDbodytextChar"/>
          <w:rFonts w:cs="Arial"/>
          <w:spacing w:val="0"/>
          <w:szCs w:val="20"/>
          <w:lang w:val="en-GB" w:eastAsia="ja-JP"/>
        </w:rPr>
        <w:t xml:space="preserve">NR SL-U </w:t>
      </w:r>
      <w:r w:rsidR="00C27B89">
        <w:rPr>
          <w:rStyle w:val="IvDbodytextChar"/>
          <w:rFonts w:cs="Arial"/>
          <w:spacing w:val="0"/>
          <w:szCs w:val="20"/>
          <w:lang w:val="en-GB" w:eastAsia="ja-JP"/>
        </w:rPr>
        <w:t xml:space="preserve">Mode 2 supports </w:t>
      </w:r>
      <w:r w:rsidR="008B0976" w:rsidRPr="00DA2CE5">
        <w:rPr>
          <w:rStyle w:val="IvDbodytextChar"/>
          <w:rFonts w:cs="Arial"/>
          <w:spacing w:val="0"/>
          <w:szCs w:val="20"/>
          <w:lang w:val="en-GB" w:eastAsia="ja-JP"/>
        </w:rPr>
        <w:t xml:space="preserve">opportunistic transmission </w:t>
      </w:r>
      <w:r w:rsidR="00DA2CE5">
        <w:rPr>
          <w:rStyle w:val="IvDbodytextChar"/>
          <w:rFonts w:cs="Arial"/>
          <w:spacing w:val="0"/>
          <w:szCs w:val="20"/>
          <w:lang w:val="en-GB" w:eastAsia="ja-JP"/>
        </w:rPr>
        <w:t>(</w:t>
      </w:r>
      <w:r w:rsidR="007D3C10" w:rsidRPr="00DA2CE5">
        <w:rPr>
          <w:rStyle w:val="IvDbodytextChar"/>
          <w:rFonts w:cs="Arial"/>
          <w:spacing w:val="0"/>
          <w:szCs w:val="20"/>
          <w:lang w:val="en-GB" w:eastAsia="ja-JP"/>
        </w:rPr>
        <w:t>i.e., early transmission</w:t>
      </w:r>
      <w:r w:rsidR="00DA2CE5">
        <w:rPr>
          <w:rStyle w:val="IvDbodytextChar"/>
          <w:rFonts w:cs="Arial"/>
          <w:spacing w:val="0"/>
          <w:szCs w:val="20"/>
          <w:lang w:val="en-GB" w:eastAsia="ja-JP"/>
        </w:rPr>
        <w:t>)</w:t>
      </w:r>
      <w:r w:rsidR="007D3C10" w:rsidRPr="00DA2CE5">
        <w:rPr>
          <w:rStyle w:val="IvDbodytextChar"/>
          <w:rFonts w:cs="Arial"/>
          <w:spacing w:val="0"/>
          <w:szCs w:val="20"/>
          <w:lang w:val="en-GB" w:eastAsia="ja-JP"/>
        </w:rPr>
        <w:t xml:space="preserve"> </w:t>
      </w:r>
      <w:r w:rsidR="008B0976" w:rsidRPr="00DA2CE5">
        <w:rPr>
          <w:rStyle w:val="IvDbodytextChar"/>
          <w:rFonts w:cs="Arial"/>
          <w:spacing w:val="0"/>
          <w:szCs w:val="20"/>
          <w:lang w:val="en-GB" w:eastAsia="ja-JP"/>
        </w:rPr>
        <w:t>based on LBT success.</w:t>
      </w:r>
      <w:bookmarkEnd w:id="28"/>
      <w:r w:rsidR="008B0976" w:rsidRPr="00DA2CE5">
        <w:rPr>
          <w:rStyle w:val="IvDbodytextChar"/>
          <w:rFonts w:cs="Arial"/>
          <w:spacing w:val="0"/>
          <w:szCs w:val="20"/>
          <w:lang w:val="en-GB" w:eastAsia="ja-JP"/>
        </w:rPr>
        <w:t xml:space="preserve"> </w:t>
      </w:r>
    </w:p>
    <w:p w14:paraId="54575039" w14:textId="2305FB52" w:rsidR="008B0976" w:rsidRPr="00F96758" w:rsidRDefault="002B69BA" w:rsidP="00F96758">
      <w:pPr>
        <w:pStyle w:val="Doc-text2"/>
        <w:ind w:left="0" w:firstLine="0"/>
        <w:jc w:val="both"/>
        <w:rPr>
          <w:rStyle w:val="IvDbodytextChar"/>
          <w:rFonts w:cs="Arial"/>
          <w:spacing w:val="0"/>
          <w:szCs w:val="20"/>
          <w:lang w:val="en-GB" w:eastAsia="ja-JP"/>
        </w:rPr>
      </w:pPr>
      <w:r w:rsidRPr="00F96758">
        <w:rPr>
          <w:rStyle w:val="IvDbodytextChar"/>
          <w:rFonts w:cs="Arial"/>
          <w:spacing w:val="0"/>
          <w:szCs w:val="20"/>
          <w:lang w:val="en-GB" w:eastAsia="ja-JP"/>
        </w:rPr>
        <w:t xml:space="preserve">Furthermore, </w:t>
      </w:r>
      <w:r w:rsidR="00DF7749">
        <w:rPr>
          <w:rStyle w:val="IvDbodytextChar"/>
          <w:rFonts w:cs="Arial"/>
          <w:spacing w:val="0"/>
          <w:szCs w:val="20"/>
          <w:lang w:val="en-GB" w:eastAsia="ja-JP"/>
        </w:rPr>
        <w:t>we observe</w:t>
      </w:r>
      <w:r w:rsidR="008F0AE6" w:rsidRPr="00F96758">
        <w:rPr>
          <w:rStyle w:val="IvDbodytextChar"/>
          <w:rFonts w:cs="Arial"/>
          <w:spacing w:val="0"/>
          <w:szCs w:val="20"/>
          <w:lang w:val="en-GB" w:eastAsia="ja-JP"/>
        </w:rPr>
        <w:t xml:space="preserve"> that </w:t>
      </w:r>
      <w:r w:rsidR="00C11B58" w:rsidRPr="00F96758">
        <w:rPr>
          <w:rStyle w:val="IvDbodytextChar"/>
          <w:rFonts w:cs="Arial"/>
          <w:spacing w:val="0"/>
          <w:szCs w:val="20"/>
          <w:lang w:val="en-GB" w:eastAsia="ja-JP"/>
        </w:rPr>
        <w:t xml:space="preserve">in Rel. 16 mode-2 based resource allocation procedure, the selection of resources from the </w:t>
      </w:r>
      <w:r w:rsidR="00E83F0E" w:rsidRPr="00F96758">
        <w:rPr>
          <w:rStyle w:val="IvDbodytextChar"/>
          <w:rFonts w:cs="Arial"/>
          <w:spacing w:val="0"/>
          <w:szCs w:val="20"/>
          <w:lang w:val="en-GB" w:eastAsia="ja-JP"/>
        </w:rPr>
        <w:t xml:space="preserve">set of available resources is done in a random fashion. </w:t>
      </w:r>
      <w:r w:rsidR="003423FB" w:rsidRPr="00F96758">
        <w:rPr>
          <w:rStyle w:val="IvDbodytextChar"/>
          <w:rFonts w:cs="Arial"/>
          <w:spacing w:val="0"/>
          <w:szCs w:val="20"/>
          <w:lang w:val="en-GB" w:eastAsia="ja-JP"/>
        </w:rPr>
        <w:t xml:space="preserve">Such procedure is problematic for the LBT procedure as </w:t>
      </w:r>
      <w:r w:rsidR="00970820" w:rsidRPr="00F96758">
        <w:rPr>
          <w:rStyle w:val="IvDbodytextChar"/>
          <w:rFonts w:cs="Arial"/>
          <w:spacing w:val="0"/>
          <w:szCs w:val="20"/>
          <w:lang w:val="en-GB" w:eastAsia="ja-JP"/>
        </w:rPr>
        <w:t xml:space="preserve">the LBT counter (N) </w:t>
      </w:r>
      <w:r w:rsidR="000F284E" w:rsidRPr="00622768">
        <w:rPr>
          <w:rStyle w:val="IvDbodytextChar"/>
          <w:rFonts w:cs="Arial"/>
          <w:spacing w:val="0"/>
          <w:szCs w:val="20"/>
          <w:lang w:val="en-GB" w:eastAsia="ja-JP"/>
        </w:rPr>
        <w:t>is</w:t>
      </w:r>
      <w:r w:rsidR="00970820" w:rsidRPr="00F96758">
        <w:rPr>
          <w:rStyle w:val="IvDbodytextChar"/>
          <w:rFonts w:cs="Arial"/>
          <w:spacing w:val="0"/>
          <w:szCs w:val="20"/>
          <w:lang w:val="en-GB" w:eastAsia="ja-JP"/>
        </w:rPr>
        <w:t xml:space="preserve"> frozen as </w:t>
      </w:r>
      <w:r w:rsidR="00475B32" w:rsidRPr="00F96758">
        <w:rPr>
          <w:rStyle w:val="IvDbodytextChar"/>
          <w:rFonts w:cs="Arial"/>
          <w:spacing w:val="0"/>
          <w:szCs w:val="20"/>
          <w:lang w:val="en-GB" w:eastAsia="ja-JP"/>
        </w:rPr>
        <w:t xml:space="preserve">soon as channel is identified to be </w:t>
      </w:r>
      <w:r w:rsidR="0056305E" w:rsidRPr="00F96758">
        <w:rPr>
          <w:rStyle w:val="IvDbodytextChar"/>
          <w:rFonts w:cs="Arial"/>
          <w:spacing w:val="0"/>
          <w:szCs w:val="20"/>
          <w:lang w:val="en-GB" w:eastAsia="ja-JP"/>
        </w:rPr>
        <w:t>busy by energy detection</w:t>
      </w:r>
      <w:r w:rsidR="000E2928" w:rsidRPr="00F96758">
        <w:rPr>
          <w:rStyle w:val="IvDbodytextChar"/>
          <w:rFonts w:cs="Arial"/>
          <w:spacing w:val="0"/>
          <w:szCs w:val="20"/>
          <w:lang w:val="en-GB" w:eastAsia="ja-JP"/>
        </w:rPr>
        <w:t>. I</w:t>
      </w:r>
      <w:r w:rsidR="007F51B2" w:rsidRPr="00F96758">
        <w:rPr>
          <w:rStyle w:val="IvDbodytextChar"/>
          <w:rFonts w:cs="Arial"/>
          <w:spacing w:val="0"/>
          <w:szCs w:val="20"/>
          <w:lang w:val="en-GB" w:eastAsia="ja-JP"/>
        </w:rPr>
        <w:t>t does not matter if the channel is completely occupied or partially occupied</w:t>
      </w:r>
      <w:r w:rsidR="00BB0447">
        <w:rPr>
          <w:rStyle w:val="IvDbodytextChar"/>
          <w:rFonts w:cs="Arial"/>
          <w:spacing w:val="0"/>
          <w:szCs w:val="20"/>
          <w:lang w:val="en-GB" w:eastAsia="ja-JP"/>
        </w:rPr>
        <w:t>,</w:t>
      </w:r>
      <w:r w:rsidR="007F51B2" w:rsidRPr="00F96758">
        <w:rPr>
          <w:rStyle w:val="IvDbodytextChar"/>
          <w:rFonts w:cs="Arial"/>
          <w:spacing w:val="0"/>
          <w:szCs w:val="20"/>
          <w:lang w:val="en-GB" w:eastAsia="ja-JP"/>
        </w:rPr>
        <w:t xml:space="preserve"> which is possible if </w:t>
      </w:r>
      <w:r w:rsidR="007F51B2" w:rsidRPr="00F96758">
        <w:rPr>
          <w:rStyle w:val="IvDbodytextChar"/>
          <w:rFonts w:cs="Arial"/>
          <w:spacing w:val="0"/>
          <w:szCs w:val="20"/>
          <w:lang w:val="en-GB" w:eastAsia="ja-JP"/>
        </w:rPr>
        <w:lastRenderedPageBreak/>
        <w:t>subchannel size is smaller than the RBset (</w:t>
      </w:r>
      <w:r w:rsidR="004810BE" w:rsidRPr="00F96758">
        <w:rPr>
          <w:rStyle w:val="IvDbodytextChar"/>
          <w:rFonts w:cs="Arial"/>
          <w:spacing w:val="0"/>
          <w:szCs w:val="20"/>
          <w:lang w:val="en-GB" w:eastAsia="ja-JP"/>
        </w:rPr>
        <w:t>channel bandwidth)</w:t>
      </w:r>
      <w:r w:rsidR="0068392B" w:rsidRPr="00F96758">
        <w:rPr>
          <w:rStyle w:val="IvDbodytextChar"/>
          <w:rFonts w:cs="Arial"/>
          <w:spacing w:val="0"/>
          <w:szCs w:val="20"/>
          <w:lang w:val="en-GB" w:eastAsia="ja-JP"/>
        </w:rPr>
        <w:t xml:space="preserve">. </w:t>
      </w:r>
      <w:r w:rsidR="00150807" w:rsidRPr="00F96758">
        <w:rPr>
          <w:rStyle w:val="IvDbodytextChar"/>
          <w:rFonts w:cs="Arial"/>
          <w:spacing w:val="0"/>
          <w:szCs w:val="20"/>
          <w:lang w:val="en-GB" w:eastAsia="ja-JP"/>
        </w:rPr>
        <w:t xml:space="preserve">In other words, </w:t>
      </w:r>
      <w:r w:rsidR="004462E8">
        <w:rPr>
          <w:rStyle w:val="IvDbodytextChar"/>
          <w:rFonts w:cs="Arial"/>
          <w:spacing w:val="0"/>
          <w:szCs w:val="20"/>
          <w:lang w:val="en-GB" w:eastAsia="ja-JP"/>
        </w:rPr>
        <w:t>spreading</w:t>
      </w:r>
      <w:r w:rsidR="00A30D03">
        <w:rPr>
          <w:rStyle w:val="IvDbodytextChar"/>
          <w:rFonts w:cs="Arial"/>
          <w:spacing w:val="0"/>
          <w:szCs w:val="20"/>
          <w:lang w:val="en-GB" w:eastAsia="ja-JP"/>
        </w:rPr>
        <w:t xml:space="preserve"> different</w:t>
      </w:r>
      <w:r w:rsidR="004462E8">
        <w:rPr>
          <w:rStyle w:val="IvDbodytextChar"/>
          <w:rFonts w:cs="Arial"/>
          <w:spacing w:val="0"/>
          <w:szCs w:val="20"/>
          <w:lang w:val="en-GB" w:eastAsia="ja-JP"/>
        </w:rPr>
        <w:t xml:space="preserve"> </w:t>
      </w:r>
      <w:r w:rsidR="00901B05">
        <w:rPr>
          <w:rStyle w:val="IvDbodytextChar"/>
          <w:rFonts w:cs="Arial"/>
          <w:spacing w:val="0"/>
          <w:szCs w:val="20"/>
          <w:lang w:val="en-GB" w:eastAsia="ja-JP"/>
        </w:rPr>
        <w:t>transmissions over time instead of concentrating them on a reduced num</w:t>
      </w:r>
      <w:r w:rsidR="00FD4E6A">
        <w:rPr>
          <w:rStyle w:val="IvDbodytextChar"/>
          <w:rFonts w:cs="Arial"/>
          <w:spacing w:val="0"/>
          <w:szCs w:val="20"/>
          <w:lang w:val="en-GB" w:eastAsia="ja-JP"/>
        </w:rPr>
        <w:t xml:space="preserve">ber of slots </w:t>
      </w:r>
      <w:r w:rsidR="00ED27BF" w:rsidRPr="00F96758">
        <w:rPr>
          <w:rStyle w:val="IvDbodytextChar"/>
          <w:rFonts w:cs="Arial"/>
          <w:spacing w:val="0"/>
          <w:szCs w:val="20"/>
          <w:lang w:val="en-GB" w:eastAsia="ja-JP"/>
        </w:rPr>
        <w:t xml:space="preserve">is a bigger issue for LBT based </w:t>
      </w:r>
      <w:r w:rsidR="00534D8B" w:rsidRPr="00F96758">
        <w:rPr>
          <w:rStyle w:val="IvDbodytextChar"/>
          <w:rFonts w:cs="Arial"/>
          <w:spacing w:val="0"/>
          <w:szCs w:val="20"/>
          <w:lang w:val="en-GB" w:eastAsia="ja-JP"/>
        </w:rPr>
        <w:t xml:space="preserve">on energy detection and it should be avoided. </w:t>
      </w:r>
      <w:r w:rsidR="006A72BC">
        <w:rPr>
          <w:rStyle w:val="IvDbodytextChar"/>
          <w:rFonts w:cs="Arial"/>
          <w:spacing w:val="0"/>
          <w:szCs w:val="20"/>
          <w:lang w:val="en-GB" w:eastAsia="ja-JP"/>
        </w:rPr>
        <w:t xml:space="preserve">This is illustrated in </w:t>
      </w:r>
      <w:r w:rsidR="006A72BC">
        <w:rPr>
          <w:rStyle w:val="IvDbodytextChar"/>
          <w:rFonts w:cs="Arial"/>
          <w:spacing w:val="0"/>
          <w:szCs w:val="20"/>
          <w:lang w:val="en-GB" w:eastAsia="ja-JP"/>
        </w:rPr>
        <w:fldChar w:fldCharType="begin"/>
      </w:r>
      <w:r w:rsidR="006A72BC">
        <w:rPr>
          <w:rStyle w:val="IvDbodytextChar"/>
          <w:rFonts w:cs="Arial"/>
          <w:spacing w:val="0"/>
          <w:szCs w:val="20"/>
          <w:lang w:val="en-GB" w:eastAsia="ja-JP"/>
        </w:rPr>
        <w:instrText xml:space="preserve"> REF _Ref102137551 \h </w:instrText>
      </w:r>
      <w:r w:rsidR="006A72BC">
        <w:rPr>
          <w:rStyle w:val="IvDbodytextChar"/>
          <w:rFonts w:cs="Arial"/>
          <w:spacing w:val="0"/>
          <w:szCs w:val="20"/>
          <w:lang w:val="en-GB" w:eastAsia="ja-JP"/>
        </w:rPr>
      </w:r>
      <w:r w:rsidR="006A72BC">
        <w:rPr>
          <w:rStyle w:val="IvDbodytextChar"/>
          <w:rFonts w:cs="Arial"/>
          <w:spacing w:val="0"/>
          <w:szCs w:val="20"/>
          <w:lang w:val="en-GB" w:eastAsia="ja-JP"/>
        </w:rPr>
        <w:fldChar w:fldCharType="separate"/>
      </w:r>
      <w:r w:rsidR="00477B8A">
        <w:t xml:space="preserve">Figure </w:t>
      </w:r>
      <w:r w:rsidR="00E73078">
        <w:rPr>
          <w:lang w:val="en-US"/>
        </w:rPr>
        <w:t>4</w:t>
      </w:r>
      <w:r w:rsidR="006A72BC">
        <w:rPr>
          <w:rStyle w:val="IvDbodytextChar"/>
          <w:rFonts w:cs="Arial"/>
          <w:spacing w:val="0"/>
          <w:szCs w:val="20"/>
          <w:lang w:val="en-GB" w:eastAsia="ja-JP"/>
        </w:rPr>
        <w:fldChar w:fldCharType="end"/>
      </w:r>
      <w:r w:rsidR="006A72BC">
        <w:rPr>
          <w:rStyle w:val="IvDbodytextChar"/>
          <w:rFonts w:cs="Arial"/>
          <w:spacing w:val="0"/>
          <w:szCs w:val="20"/>
          <w:lang w:val="en-GB" w:eastAsia="ja-JP"/>
        </w:rPr>
        <w:t>.</w:t>
      </w:r>
    </w:p>
    <w:p w14:paraId="73BFBDD2" w14:textId="77777777" w:rsidR="00FF2305" w:rsidRPr="00DE00EA" w:rsidRDefault="00FF2305" w:rsidP="002B69BA">
      <w:pPr>
        <w:pStyle w:val="Doc-text2"/>
        <w:ind w:left="0" w:firstLine="0"/>
        <w:rPr>
          <w:rStyle w:val="IvDbodytextChar"/>
          <w:rFonts w:cs="Arial"/>
          <w:spacing w:val="0"/>
          <w:sz w:val="22"/>
          <w:szCs w:val="22"/>
          <w:lang w:val="en-GB" w:eastAsia="ja-JP"/>
        </w:rPr>
      </w:pPr>
    </w:p>
    <w:p w14:paraId="06963740" w14:textId="36E4E6D9" w:rsidR="00FF2305" w:rsidRPr="00867752" w:rsidRDefault="00FD4E6A" w:rsidP="00867752">
      <w:pPr>
        <w:pStyle w:val="Observation"/>
        <w:ind w:left="1701" w:hanging="1701"/>
      </w:pPr>
      <w:bookmarkStart w:id="29" w:name="_Toc127544580"/>
      <w:r>
        <w:t xml:space="preserve">Having </w:t>
      </w:r>
      <w:r w:rsidR="00B14256">
        <w:t xml:space="preserve">different </w:t>
      </w:r>
      <w:r>
        <w:t xml:space="preserve">transmissions spread </w:t>
      </w:r>
      <w:r w:rsidR="00D04F65">
        <w:t>o</w:t>
      </w:r>
      <w:r w:rsidR="00355616">
        <w:t xml:space="preserve">ver </w:t>
      </w:r>
      <w:r w:rsidR="00264B0C">
        <w:t>time</w:t>
      </w:r>
      <w:r w:rsidR="00B14256">
        <w:t xml:space="preserve"> instead of concentrating them in a reduced number of slots</w:t>
      </w:r>
      <w:r w:rsidR="00FF2305" w:rsidRPr="00867752">
        <w:t xml:space="preserve"> </w:t>
      </w:r>
      <w:r w:rsidR="00FC2814">
        <w:t>is problematic</w:t>
      </w:r>
      <w:r w:rsidR="00E0552A" w:rsidRPr="00867752">
        <w:t xml:space="preserve"> for energy detection based CCA procedure</w:t>
      </w:r>
      <w:r w:rsidR="00B14256">
        <w:t xml:space="preserve"> (LBT Type 1)</w:t>
      </w:r>
      <w:r w:rsidR="00E0552A" w:rsidRPr="00867752">
        <w:t>.</w:t>
      </w:r>
      <w:bookmarkEnd w:id="29"/>
      <w:r w:rsidR="00E0552A" w:rsidRPr="00867752">
        <w:t xml:space="preserve"> </w:t>
      </w:r>
    </w:p>
    <w:p w14:paraId="2EAEC8B0" w14:textId="77777777" w:rsidR="0081204C" w:rsidRDefault="0081204C" w:rsidP="00F96758">
      <w:pPr>
        <w:pStyle w:val="Doc-text2"/>
        <w:keepNext/>
        <w:ind w:left="0" w:firstLine="0"/>
        <w:jc w:val="center"/>
      </w:pPr>
      <w:r>
        <w:rPr>
          <w:rStyle w:val="IvDbodytextChar"/>
          <w:rFonts w:cs="Arial"/>
          <w:noProof/>
          <w:spacing w:val="0"/>
          <w:szCs w:val="20"/>
          <w:lang w:val="en-GB" w:eastAsia="ja-JP"/>
        </w:rPr>
        <w:drawing>
          <wp:inline distT="0" distB="0" distL="0" distR="0" wp14:anchorId="180EAFF5" wp14:editId="0EBF2F8F">
            <wp:extent cx="5121275" cy="213360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21275" cy="2133600"/>
                    </a:xfrm>
                    <a:prstGeom prst="rect">
                      <a:avLst/>
                    </a:prstGeom>
                    <a:noFill/>
                  </pic:spPr>
                </pic:pic>
              </a:graphicData>
            </a:graphic>
          </wp:inline>
        </w:drawing>
      </w:r>
    </w:p>
    <w:p w14:paraId="197B45FB" w14:textId="73FDEFC3" w:rsidR="00A91DEA" w:rsidRDefault="0081204C" w:rsidP="00F96758">
      <w:pPr>
        <w:pStyle w:val="Caption"/>
        <w:jc w:val="center"/>
        <w:rPr>
          <w:rStyle w:val="IvDbodytextChar"/>
          <w:rFonts w:cs="Arial"/>
          <w:spacing w:val="0"/>
          <w:szCs w:val="20"/>
          <w:lang w:val="en-GB" w:eastAsia="ja-JP"/>
        </w:rPr>
      </w:pPr>
      <w:bookmarkStart w:id="30" w:name="_Ref102137551"/>
      <w:r>
        <w:t xml:space="preserve">Figure </w:t>
      </w:r>
      <w:r>
        <w:fldChar w:fldCharType="begin"/>
      </w:r>
      <w:r>
        <w:instrText xml:space="preserve"> SEQ Figure \* ARABIC </w:instrText>
      </w:r>
      <w:r>
        <w:fldChar w:fldCharType="separate"/>
      </w:r>
      <w:r w:rsidR="00466B55">
        <w:rPr>
          <w:noProof/>
        </w:rPr>
        <w:t>8</w:t>
      </w:r>
      <w:r>
        <w:fldChar w:fldCharType="end"/>
      </w:r>
      <w:bookmarkEnd w:id="30"/>
      <w:r>
        <w:t>. Left:</w:t>
      </w:r>
      <w:r w:rsidR="00A478C4">
        <w:t xml:space="preserve"> </w:t>
      </w:r>
      <w:r w:rsidR="00316252">
        <w:t>With a 50% load, e</w:t>
      </w:r>
      <w:r w:rsidR="00CE7CE9">
        <w:t xml:space="preserve">very slot </w:t>
      </w:r>
      <w:r w:rsidR="00F844A7">
        <w:t>has occupied resources</w:t>
      </w:r>
      <w:r w:rsidR="00F35925">
        <w:t xml:space="preserve"> (</w:t>
      </w:r>
      <w:r w:rsidR="00316252">
        <w:t>in gray</w:t>
      </w:r>
      <w:r w:rsidR="00F35925">
        <w:t>) and LBT counter</w:t>
      </w:r>
      <w:r w:rsidR="00D167C9">
        <w:t xml:space="preserve"> N</w:t>
      </w:r>
      <w:r w:rsidR="00F35925">
        <w:t xml:space="preserve"> can only be decreased during the silent GPs</w:t>
      </w:r>
      <w:r w:rsidR="00C74822">
        <w:t xml:space="preserve">. Right: </w:t>
      </w:r>
      <w:r w:rsidR="00B63111">
        <w:t>Transmissions are</w:t>
      </w:r>
      <w:r w:rsidR="00482C3E">
        <w:t xml:space="preserve"> </w:t>
      </w:r>
      <w:r w:rsidR="00183354">
        <w:t xml:space="preserve">packed </w:t>
      </w:r>
      <w:r w:rsidR="00482C3E">
        <w:t xml:space="preserve">in a </w:t>
      </w:r>
      <w:r w:rsidR="00166B8F">
        <w:t>few slots. Although the load is still 50%</w:t>
      </w:r>
      <w:r w:rsidR="00D167C9">
        <w:t>, having some unused slots</w:t>
      </w:r>
      <w:r w:rsidR="008B576D">
        <w:t xml:space="preserve"> </w:t>
      </w:r>
      <w:r w:rsidR="00F844A7">
        <w:t xml:space="preserve">(in white) </w:t>
      </w:r>
      <w:r w:rsidR="008B576D">
        <w:t>allows for</w:t>
      </w:r>
      <w:r w:rsidR="00617E65">
        <w:t xml:space="preserve"> decreasing the LBT counter quicker.</w:t>
      </w:r>
    </w:p>
    <w:p w14:paraId="68EB3CF1" w14:textId="3AB3483D" w:rsidR="00E5325C" w:rsidRPr="00F96758" w:rsidRDefault="000F284E" w:rsidP="00F96758">
      <w:pPr>
        <w:pStyle w:val="Doc-text2"/>
        <w:ind w:left="0" w:firstLine="0"/>
        <w:jc w:val="both"/>
        <w:rPr>
          <w:rStyle w:val="IvDbodytextChar"/>
          <w:rFonts w:cs="Arial"/>
          <w:spacing w:val="0"/>
          <w:szCs w:val="20"/>
          <w:lang w:val="en-GB" w:eastAsia="ja-JP"/>
        </w:rPr>
      </w:pPr>
      <w:r>
        <w:rPr>
          <w:rStyle w:val="IvDbodytextChar"/>
          <w:rFonts w:cs="Arial"/>
          <w:spacing w:val="0"/>
          <w:szCs w:val="20"/>
          <w:lang w:val="en-GB" w:eastAsia="ja-JP"/>
        </w:rPr>
        <w:t>T</w:t>
      </w:r>
      <w:r w:rsidR="00C1203B" w:rsidRPr="00F96758">
        <w:rPr>
          <w:rStyle w:val="IvDbodytextChar"/>
          <w:rFonts w:cs="Arial"/>
          <w:spacing w:val="0"/>
          <w:szCs w:val="20"/>
          <w:lang w:val="en-GB" w:eastAsia="ja-JP"/>
        </w:rPr>
        <w:t xml:space="preserve">o reduce </w:t>
      </w:r>
      <w:r w:rsidR="00AB7E7D">
        <w:rPr>
          <w:rStyle w:val="IvDbodytextChar"/>
          <w:rFonts w:cs="Arial"/>
          <w:spacing w:val="0"/>
          <w:szCs w:val="20"/>
          <w:lang w:val="en-GB" w:eastAsia="ja-JP"/>
        </w:rPr>
        <w:t>the spread of different transmissions over time</w:t>
      </w:r>
      <w:r w:rsidR="00C1203B" w:rsidRPr="00F96758">
        <w:rPr>
          <w:rStyle w:val="IvDbodytextChar"/>
          <w:rFonts w:cs="Arial"/>
          <w:spacing w:val="0"/>
          <w:szCs w:val="20"/>
          <w:lang w:val="en-GB" w:eastAsia="ja-JP"/>
        </w:rPr>
        <w:t>, we propose to adopt ‘frequency-first’ selection instead of random selection during resource selection procedure</w:t>
      </w:r>
      <w:r w:rsidR="00496726" w:rsidRPr="00F96758">
        <w:rPr>
          <w:rStyle w:val="IvDbodytextChar"/>
          <w:rFonts w:cs="Arial"/>
          <w:spacing w:val="0"/>
          <w:szCs w:val="20"/>
          <w:lang w:val="en-GB" w:eastAsia="ja-JP"/>
        </w:rPr>
        <w:t xml:space="preserve"> (step 1 above)</w:t>
      </w:r>
      <w:r w:rsidR="00C1203B" w:rsidRPr="00F96758">
        <w:rPr>
          <w:rStyle w:val="IvDbodytextChar"/>
          <w:rFonts w:cs="Arial"/>
          <w:spacing w:val="0"/>
          <w:szCs w:val="20"/>
          <w:lang w:val="en-GB" w:eastAsia="ja-JP"/>
        </w:rPr>
        <w:t>.</w:t>
      </w:r>
    </w:p>
    <w:p w14:paraId="148A1718" w14:textId="77777777" w:rsidR="00E5325C" w:rsidRPr="00DE00EA" w:rsidRDefault="00E5325C" w:rsidP="00C573A9">
      <w:pPr>
        <w:pStyle w:val="Doc-text2"/>
        <w:ind w:left="0" w:firstLine="0"/>
        <w:rPr>
          <w:rStyle w:val="IvDbodytextChar"/>
          <w:rFonts w:cs="Arial"/>
          <w:spacing w:val="0"/>
          <w:sz w:val="22"/>
          <w:szCs w:val="22"/>
          <w:lang w:val="en-GB" w:eastAsia="ja-JP"/>
        </w:rPr>
      </w:pPr>
    </w:p>
    <w:p w14:paraId="4C7AB3D0" w14:textId="543B2717" w:rsidR="00653E2F" w:rsidRPr="00867752" w:rsidRDefault="00AB7E7D" w:rsidP="00F96758">
      <w:pPr>
        <w:pStyle w:val="Proposal"/>
      </w:pPr>
      <w:bookmarkStart w:id="31" w:name="_Toc127544554"/>
      <w:r>
        <w:t>Specify</w:t>
      </w:r>
      <w:r w:rsidR="00E5325C" w:rsidRPr="00867752">
        <w:t xml:space="preserve"> </w:t>
      </w:r>
      <w:r w:rsidR="00C906CE" w:rsidRPr="00867752">
        <w:t>‘frequency</w:t>
      </w:r>
      <w:r w:rsidR="00CB533E">
        <w:t>-</w:t>
      </w:r>
      <w:r w:rsidR="00C906CE" w:rsidRPr="00867752">
        <w:t xml:space="preserve">first selection’ during </w:t>
      </w:r>
      <w:r w:rsidR="00653E2F" w:rsidRPr="00867752">
        <w:t>resource selection from the candidate of available resources.</w:t>
      </w:r>
      <w:bookmarkEnd w:id="31"/>
      <w:r w:rsidR="00653E2F" w:rsidRPr="00867752">
        <w:t xml:space="preserve"> </w:t>
      </w:r>
    </w:p>
    <w:p w14:paraId="4F6C7B38" w14:textId="32AD4620" w:rsidR="00E0552A" w:rsidRDefault="008B2F83" w:rsidP="00F96758">
      <w:pPr>
        <w:pStyle w:val="Doc-text2"/>
        <w:ind w:left="0" w:firstLine="0"/>
        <w:jc w:val="both"/>
        <w:rPr>
          <w:rStyle w:val="IvDbodytextChar"/>
          <w:rFonts w:eastAsiaTheme="minorHAnsi" w:cs="Arial"/>
          <w:b/>
          <w:spacing w:val="0"/>
          <w:szCs w:val="20"/>
          <w:lang w:val="en-GB" w:eastAsia="ja-JP"/>
        </w:rPr>
      </w:pPr>
      <w:r>
        <w:rPr>
          <w:rStyle w:val="IvDbodytextChar"/>
          <w:rFonts w:cs="Arial"/>
          <w:spacing w:val="0"/>
          <w:szCs w:val="20"/>
          <w:lang w:val="en-GB" w:eastAsia="ja-JP"/>
        </w:rPr>
        <w:t>The Rel-16 specifications include a re-evaluation procedure that allow a UE to reselect</w:t>
      </w:r>
      <w:r w:rsidR="00FD64C2" w:rsidRPr="00F96758">
        <w:rPr>
          <w:rStyle w:val="IvDbodytextChar"/>
          <w:rFonts w:cs="Arial"/>
          <w:spacing w:val="0"/>
          <w:szCs w:val="20"/>
          <w:lang w:val="en-GB" w:eastAsia="ja-JP"/>
        </w:rPr>
        <w:t xml:space="preserve"> </w:t>
      </w:r>
      <w:r w:rsidR="00E87E96" w:rsidRPr="00F96758">
        <w:rPr>
          <w:rStyle w:val="IvDbodytextChar"/>
          <w:rFonts w:cs="Arial"/>
          <w:spacing w:val="0"/>
          <w:szCs w:val="20"/>
          <w:lang w:val="en-GB" w:eastAsia="ja-JP"/>
        </w:rPr>
        <w:t xml:space="preserve">the already selected resources </w:t>
      </w:r>
      <w:r w:rsidR="0098075F" w:rsidRPr="00F96758">
        <w:rPr>
          <w:rStyle w:val="IvDbodytextChar"/>
          <w:rFonts w:cs="Arial"/>
          <w:spacing w:val="0"/>
          <w:szCs w:val="20"/>
          <w:lang w:val="en-GB" w:eastAsia="ja-JP"/>
        </w:rPr>
        <w:t xml:space="preserve">based on the updated </w:t>
      </w:r>
      <w:r w:rsidR="0065500A" w:rsidRPr="00F96758">
        <w:rPr>
          <w:rStyle w:val="IvDbodytextChar"/>
          <w:rFonts w:cs="Arial"/>
          <w:spacing w:val="0"/>
          <w:szCs w:val="20"/>
          <w:lang w:val="en-GB" w:eastAsia="ja-JP"/>
        </w:rPr>
        <w:t>sensing information</w:t>
      </w:r>
      <w:r w:rsidR="006D3AB9">
        <w:rPr>
          <w:rStyle w:val="IvDbodytextChar"/>
          <w:rFonts w:cs="Arial"/>
          <w:spacing w:val="0"/>
          <w:szCs w:val="20"/>
          <w:lang w:val="en-GB" w:eastAsia="ja-JP"/>
        </w:rPr>
        <w:t xml:space="preserve"> when a collision is detected. We believe that this procedure should be extended to </w:t>
      </w:r>
      <w:r w:rsidR="005463ED">
        <w:rPr>
          <w:rStyle w:val="IvDbodytextChar"/>
          <w:rFonts w:cs="Arial"/>
          <w:spacing w:val="0"/>
          <w:szCs w:val="20"/>
          <w:lang w:val="en-GB" w:eastAsia="ja-JP"/>
        </w:rPr>
        <w:t>concentrate the transmissions over time.</w:t>
      </w:r>
      <w:r w:rsidR="004228CF" w:rsidRPr="00F96758">
        <w:rPr>
          <w:rStyle w:val="IvDbodytextChar"/>
          <w:rFonts w:cs="Arial"/>
          <w:spacing w:val="0"/>
          <w:szCs w:val="20"/>
          <w:lang w:val="en-GB" w:eastAsia="ja-JP"/>
        </w:rPr>
        <w:t xml:space="preserve"> </w:t>
      </w:r>
    </w:p>
    <w:p w14:paraId="5B68A3B0" w14:textId="77777777" w:rsidR="00FC2814" w:rsidRPr="00F96758" w:rsidRDefault="00FC2814" w:rsidP="00192D65">
      <w:pPr>
        <w:pStyle w:val="Doc-text2"/>
        <w:ind w:left="0" w:firstLine="0"/>
        <w:rPr>
          <w:rStyle w:val="IvDbodytextChar"/>
          <w:rFonts w:cs="Arial"/>
          <w:spacing w:val="0"/>
          <w:szCs w:val="20"/>
          <w:lang w:val="en-GB" w:eastAsia="ja-JP"/>
        </w:rPr>
      </w:pPr>
    </w:p>
    <w:p w14:paraId="0C08BE90" w14:textId="70920A86" w:rsidR="004228CF" w:rsidRPr="00F96758" w:rsidRDefault="00123CE9" w:rsidP="004228CF">
      <w:pPr>
        <w:pStyle w:val="Proposal"/>
        <w:rPr>
          <w:rStyle w:val="IvDbodytextChar"/>
          <w:rFonts w:cs="Arial"/>
          <w:spacing w:val="0"/>
          <w:szCs w:val="20"/>
          <w:lang w:val="en-GB" w:eastAsia="ja-JP"/>
        </w:rPr>
      </w:pPr>
      <w:bookmarkStart w:id="32" w:name="_Toc127544555"/>
      <w:r>
        <w:rPr>
          <w:rStyle w:val="IvDbodytextChar"/>
          <w:rFonts w:cs="Arial"/>
          <w:spacing w:val="0"/>
          <w:szCs w:val="20"/>
          <w:lang w:val="en-GB" w:eastAsia="ja-JP"/>
        </w:rPr>
        <w:t>The r</w:t>
      </w:r>
      <w:r w:rsidR="00CA6438" w:rsidRPr="00F96758">
        <w:rPr>
          <w:rStyle w:val="IvDbodytextChar"/>
          <w:rFonts w:cs="Arial"/>
          <w:spacing w:val="0"/>
          <w:szCs w:val="20"/>
          <w:lang w:val="en-GB" w:eastAsia="ja-JP"/>
        </w:rPr>
        <w:t xml:space="preserve">esource </w:t>
      </w:r>
      <w:r w:rsidR="003E3C90">
        <w:rPr>
          <w:rStyle w:val="IvDbodytextChar"/>
          <w:rFonts w:cs="Arial"/>
          <w:spacing w:val="0"/>
          <w:szCs w:val="20"/>
          <w:lang w:val="en-GB" w:eastAsia="ja-JP"/>
        </w:rPr>
        <w:t>re</w:t>
      </w:r>
      <w:r w:rsidR="00D27BCD">
        <w:rPr>
          <w:rStyle w:val="IvDbodytextChar"/>
          <w:rFonts w:cs="Arial"/>
          <w:spacing w:val="0"/>
          <w:szCs w:val="20"/>
          <w:lang w:val="en-GB" w:eastAsia="ja-JP"/>
        </w:rPr>
        <w:t>-</w:t>
      </w:r>
      <w:r w:rsidR="003E3C90">
        <w:rPr>
          <w:rStyle w:val="IvDbodytextChar"/>
          <w:rFonts w:cs="Arial"/>
          <w:spacing w:val="0"/>
          <w:szCs w:val="20"/>
          <w:lang w:val="en-GB" w:eastAsia="ja-JP"/>
        </w:rPr>
        <w:t>evaluation</w:t>
      </w:r>
      <w:r w:rsidR="006E7A70">
        <w:rPr>
          <w:rStyle w:val="IvDbodytextChar"/>
          <w:rFonts w:cs="Arial"/>
          <w:spacing w:val="0"/>
          <w:szCs w:val="20"/>
          <w:lang w:val="en-GB" w:eastAsia="ja-JP"/>
        </w:rPr>
        <w:t xml:space="preserve"> </w:t>
      </w:r>
      <w:r>
        <w:rPr>
          <w:rStyle w:val="IvDbodytextChar"/>
          <w:rFonts w:cs="Arial"/>
          <w:spacing w:val="0"/>
          <w:szCs w:val="20"/>
          <w:lang w:val="en-GB" w:eastAsia="ja-JP"/>
        </w:rPr>
        <w:t xml:space="preserve">procedure is used </w:t>
      </w:r>
      <w:r w:rsidR="006E7A70">
        <w:rPr>
          <w:rStyle w:val="IvDbodytextChar"/>
          <w:rFonts w:cs="Arial"/>
          <w:spacing w:val="0"/>
          <w:szCs w:val="20"/>
          <w:lang w:val="en-GB" w:eastAsia="ja-JP"/>
        </w:rPr>
        <w:t xml:space="preserve">to reduce </w:t>
      </w:r>
      <w:r w:rsidR="00622768">
        <w:rPr>
          <w:rStyle w:val="IvDbodytextChar"/>
          <w:rFonts w:cs="Arial"/>
          <w:spacing w:val="0"/>
          <w:szCs w:val="20"/>
          <w:lang w:val="en-GB" w:eastAsia="ja-JP"/>
        </w:rPr>
        <w:t>the spread of transmissions in time</w:t>
      </w:r>
      <w:r w:rsidR="00FD64C2">
        <w:rPr>
          <w:rStyle w:val="IvDbodytextChar"/>
          <w:rFonts w:cs="Arial"/>
          <w:spacing w:val="0"/>
          <w:szCs w:val="20"/>
          <w:lang w:val="en-GB" w:eastAsia="ja-JP"/>
        </w:rPr>
        <w:t xml:space="preserve"> </w:t>
      </w:r>
      <w:r w:rsidR="00666F30">
        <w:rPr>
          <w:rStyle w:val="IvDbodytextChar"/>
          <w:rFonts w:cs="Arial"/>
          <w:spacing w:val="0"/>
          <w:szCs w:val="20"/>
          <w:lang w:val="en-GB" w:eastAsia="ja-JP"/>
        </w:rPr>
        <w:t>prior to sending a reservation</w:t>
      </w:r>
      <w:r w:rsidR="00646FDC" w:rsidRPr="00F96758">
        <w:rPr>
          <w:rStyle w:val="IvDbodytextChar"/>
          <w:rFonts w:cs="Arial"/>
          <w:spacing w:val="0"/>
          <w:szCs w:val="20"/>
          <w:lang w:val="en-GB" w:eastAsia="ja-JP"/>
        </w:rPr>
        <w:t>.</w:t>
      </w:r>
      <w:bookmarkEnd w:id="32"/>
      <w:r w:rsidR="00646FDC" w:rsidRPr="00F96758">
        <w:rPr>
          <w:rStyle w:val="IvDbodytextChar"/>
          <w:rFonts w:cs="Arial"/>
          <w:spacing w:val="0"/>
          <w:szCs w:val="20"/>
          <w:lang w:val="en-GB" w:eastAsia="ja-JP"/>
        </w:rPr>
        <w:t xml:space="preserve"> </w:t>
      </w:r>
    </w:p>
    <w:p w14:paraId="4FD266B2" w14:textId="4AF64CFC" w:rsidR="00D059F9" w:rsidRPr="00F96758" w:rsidRDefault="00383B4E" w:rsidP="00F96758">
      <w:pPr>
        <w:pStyle w:val="Doc-text2"/>
        <w:ind w:left="0" w:firstLine="0"/>
        <w:jc w:val="both"/>
        <w:rPr>
          <w:rStyle w:val="IvDbodytextChar"/>
          <w:rFonts w:cs="Arial"/>
          <w:spacing w:val="0"/>
          <w:szCs w:val="20"/>
          <w:lang w:val="en-GB" w:eastAsia="ja-JP"/>
        </w:rPr>
      </w:pPr>
      <w:r w:rsidRPr="00F96758">
        <w:rPr>
          <w:rStyle w:val="IvDbodytextChar"/>
          <w:rFonts w:cs="Arial"/>
          <w:spacing w:val="0"/>
          <w:szCs w:val="20"/>
          <w:lang w:val="en-GB" w:eastAsia="ja-JP"/>
        </w:rPr>
        <w:t xml:space="preserve">As mentioned above, LBT procedure is performed by the UE before transmitting on the selected resource. </w:t>
      </w:r>
      <w:r w:rsidR="00E741C8" w:rsidRPr="00F96758">
        <w:rPr>
          <w:rStyle w:val="IvDbodytextChar"/>
          <w:rFonts w:cs="Arial"/>
          <w:spacing w:val="0"/>
          <w:szCs w:val="20"/>
          <w:lang w:val="en-GB" w:eastAsia="ja-JP"/>
        </w:rPr>
        <w:t xml:space="preserve">In this case, there are two possible </w:t>
      </w:r>
      <w:r w:rsidR="002B44EB">
        <w:rPr>
          <w:rStyle w:val="IvDbodytextChar"/>
          <w:rFonts w:cs="Arial"/>
          <w:spacing w:val="0"/>
          <w:szCs w:val="20"/>
          <w:lang w:val="en-GB" w:eastAsia="ja-JP"/>
        </w:rPr>
        <w:t>cases</w:t>
      </w:r>
      <w:r w:rsidR="00E741C8" w:rsidRPr="00F96758">
        <w:rPr>
          <w:rStyle w:val="IvDbodytextChar"/>
          <w:rFonts w:cs="Arial"/>
          <w:spacing w:val="0"/>
          <w:szCs w:val="20"/>
          <w:lang w:val="en-GB" w:eastAsia="ja-JP"/>
        </w:rPr>
        <w:t>: (1) LBT is successful before the selected resource</w:t>
      </w:r>
      <w:r w:rsidR="00E15B29">
        <w:rPr>
          <w:rStyle w:val="IvDbodytextChar"/>
          <w:rFonts w:cs="Arial"/>
          <w:spacing w:val="0"/>
          <w:szCs w:val="20"/>
          <w:lang w:val="en-GB" w:eastAsia="ja-JP"/>
        </w:rPr>
        <w:t>, or</w:t>
      </w:r>
      <w:r w:rsidR="00E741C8" w:rsidRPr="00F96758">
        <w:rPr>
          <w:rStyle w:val="IvDbodytextChar"/>
          <w:rFonts w:cs="Arial"/>
          <w:spacing w:val="0"/>
          <w:szCs w:val="20"/>
          <w:lang w:val="en-GB" w:eastAsia="ja-JP"/>
        </w:rPr>
        <w:t xml:space="preserve"> (2) LBT is unsuccessful before the selected resource. </w:t>
      </w:r>
      <w:r w:rsidR="006E086A" w:rsidRPr="00F96758">
        <w:rPr>
          <w:rStyle w:val="IvDbodytextChar"/>
          <w:rFonts w:cs="Arial"/>
          <w:spacing w:val="0"/>
          <w:szCs w:val="20"/>
          <w:lang w:val="en-GB" w:eastAsia="ja-JP"/>
        </w:rPr>
        <w:t xml:space="preserve">In case </w:t>
      </w:r>
      <w:r w:rsidR="00D05196">
        <w:rPr>
          <w:rStyle w:val="IvDbodytextChar"/>
          <w:rFonts w:cs="Arial"/>
          <w:spacing w:val="0"/>
          <w:szCs w:val="20"/>
          <w:lang w:val="en-GB" w:eastAsia="ja-JP"/>
        </w:rPr>
        <w:t>(</w:t>
      </w:r>
      <w:r w:rsidR="006E086A" w:rsidRPr="00F96758">
        <w:rPr>
          <w:rStyle w:val="IvDbodytextChar"/>
          <w:rFonts w:cs="Arial"/>
          <w:spacing w:val="0"/>
          <w:szCs w:val="20"/>
          <w:lang w:val="en-GB" w:eastAsia="ja-JP"/>
        </w:rPr>
        <w:t>1</w:t>
      </w:r>
      <w:r w:rsidR="00D05196">
        <w:rPr>
          <w:rStyle w:val="IvDbodytextChar"/>
          <w:rFonts w:cs="Arial"/>
          <w:spacing w:val="0"/>
          <w:szCs w:val="20"/>
          <w:lang w:val="en-GB" w:eastAsia="ja-JP"/>
        </w:rPr>
        <w:t>)</w:t>
      </w:r>
      <w:r w:rsidR="006E086A" w:rsidRPr="00F96758">
        <w:rPr>
          <w:rStyle w:val="IvDbodytextChar"/>
          <w:rFonts w:cs="Arial"/>
          <w:spacing w:val="0"/>
          <w:szCs w:val="20"/>
          <w:lang w:val="en-GB" w:eastAsia="ja-JP"/>
        </w:rPr>
        <w:t xml:space="preserve">, it is obvious that the UE will </w:t>
      </w:r>
      <w:r w:rsidR="00431ADC" w:rsidRPr="00F96758">
        <w:rPr>
          <w:rStyle w:val="IvDbodytextChar"/>
          <w:rFonts w:cs="Arial"/>
          <w:spacing w:val="0"/>
          <w:szCs w:val="20"/>
          <w:lang w:val="en-GB" w:eastAsia="ja-JP"/>
        </w:rPr>
        <w:t xml:space="preserve">use the selected resource for transmission. </w:t>
      </w:r>
      <w:r w:rsidR="00F3155C">
        <w:rPr>
          <w:rStyle w:val="IvDbodytextChar"/>
          <w:rFonts w:cs="Arial"/>
          <w:spacing w:val="0"/>
          <w:szCs w:val="20"/>
          <w:lang w:val="en-GB" w:eastAsia="ja-JP"/>
        </w:rPr>
        <w:t>In our view</w:t>
      </w:r>
      <w:r w:rsidR="00431ADC" w:rsidRPr="00F96758">
        <w:rPr>
          <w:rStyle w:val="IvDbodytextChar"/>
          <w:rFonts w:cs="Arial"/>
          <w:spacing w:val="0"/>
          <w:szCs w:val="20"/>
          <w:lang w:val="en-GB" w:eastAsia="ja-JP"/>
        </w:rPr>
        <w:t xml:space="preserve">, in case </w:t>
      </w:r>
      <w:r w:rsidR="00D05196">
        <w:rPr>
          <w:rStyle w:val="IvDbodytextChar"/>
          <w:rFonts w:cs="Arial"/>
          <w:spacing w:val="0"/>
          <w:szCs w:val="20"/>
          <w:lang w:val="en-GB" w:eastAsia="ja-JP"/>
        </w:rPr>
        <w:t>(</w:t>
      </w:r>
      <w:r w:rsidR="00431ADC" w:rsidRPr="00F96758">
        <w:rPr>
          <w:rStyle w:val="IvDbodytextChar"/>
          <w:rFonts w:cs="Arial"/>
          <w:spacing w:val="0"/>
          <w:szCs w:val="20"/>
          <w:lang w:val="en-GB" w:eastAsia="ja-JP"/>
        </w:rPr>
        <w:t>2</w:t>
      </w:r>
      <w:r w:rsidR="00D05196">
        <w:rPr>
          <w:rStyle w:val="IvDbodytextChar"/>
          <w:rFonts w:cs="Arial"/>
          <w:spacing w:val="0"/>
          <w:szCs w:val="20"/>
          <w:lang w:val="en-GB" w:eastAsia="ja-JP"/>
        </w:rPr>
        <w:t>)</w:t>
      </w:r>
      <w:r w:rsidR="00E64093">
        <w:rPr>
          <w:rStyle w:val="IvDbodytextChar"/>
          <w:rFonts w:cs="Arial"/>
          <w:spacing w:val="0"/>
          <w:szCs w:val="20"/>
          <w:lang w:val="en-GB" w:eastAsia="ja-JP"/>
        </w:rPr>
        <w:t xml:space="preserve"> (i.e.,</w:t>
      </w:r>
      <w:r w:rsidR="00D059F9" w:rsidRPr="00F96758">
        <w:rPr>
          <w:rStyle w:val="IvDbodytextChar"/>
          <w:rFonts w:cs="Arial"/>
          <w:spacing w:val="0"/>
          <w:szCs w:val="20"/>
          <w:lang w:val="en-GB" w:eastAsia="ja-JP"/>
        </w:rPr>
        <w:t xml:space="preserve"> LBT failure </w:t>
      </w:r>
      <w:r w:rsidR="000931B7" w:rsidRPr="00F96758">
        <w:rPr>
          <w:rStyle w:val="IvDbodytextChar"/>
          <w:rFonts w:cs="Arial"/>
          <w:spacing w:val="0"/>
          <w:szCs w:val="20"/>
          <w:lang w:val="en-GB" w:eastAsia="ja-JP"/>
        </w:rPr>
        <w:t>before the selected resource</w:t>
      </w:r>
      <w:r w:rsidR="00E64093">
        <w:rPr>
          <w:rStyle w:val="IvDbodytextChar"/>
          <w:rFonts w:cs="Arial"/>
          <w:spacing w:val="0"/>
          <w:szCs w:val="20"/>
          <w:lang w:val="en-GB" w:eastAsia="ja-JP"/>
        </w:rPr>
        <w:t>)</w:t>
      </w:r>
      <w:r w:rsidR="000931B7" w:rsidRPr="00F96758">
        <w:rPr>
          <w:rStyle w:val="IvDbodytextChar"/>
          <w:rFonts w:cs="Arial"/>
          <w:spacing w:val="0"/>
          <w:szCs w:val="20"/>
          <w:lang w:val="en-GB" w:eastAsia="ja-JP"/>
        </w:rPr>
        <w:t xml:space="preserve"> </w:t>
      </w:r>
      <w:r w:rsidR="00D059F9" w:rsidRPr="00F96758">
        <w:rPr>
          <w:rStyle w:val="IvDbodytextChar"/>
          <w:rFonts w:cs="Arial"/>
          <w:spacing w:val="0"/>
          <w:szCs w:val="20"/>
          <w:lang w:val="en-GB" w:eastAsia="ja-JP"/>
        </w:rPr>
        <w:t xml:space="preserve">can be seen </w:t>
      </w:r>
      <w:r w:rsidR="00E80D51">
        <w:rPr>
          <w:rStyle w:val="IvDbodytextChar"/>
          <w:rFonts w:cs="Arial"/>
          <w:spacing w:val="0"/>
          <w:szCs w:val="20"/>
          <w:lang w:val="en-GB" w:eastAsia="ja-JP"/>
        </w:rPr>
        <w:t>as</w:t>
      </w:r>
      <w:r w:rsidR="005010DA">
        <w:rPr>
          <w:rStyle w:val="IvDbodytextChar"/>
          <w:rFonts w:cs="Arial"/>
          <w:spacing w:val="0"/>
          <w:szCs w:val="20"/>
          <w:lang w:val="en-GB" w:eastAsia="ja-JP"/>
        </w:rPr>
        <w:t xml:space="preserve"> a trigger for</w:t>
      </w:r>
      <w:r w:rsidR="00E80D51" w:rsidRPr="00F96758">
        <w:rPr>
          <w:rStyle w:val="IvDbodytextChar"/>
          <w:rFonts w:cs="Arial"/>
          <w:spacing w:val="0"/>
          <w:szCs w:val="20"/>
          <w:lang w:val="en-GB" w:eastAsia="ja-JP"/>
        </w:rPr>
        <w:t xml:space="preserve"> </w:t>
      </w:r>
      <w:r w:rsidR="00070E8D" w:rsidRPr="00F96758">
        <w:rPr>
          <w:rStyle w:val="IvDbodytextChar"/>
          <w:rFonts w:cs="Arial"/>
          <w:spacing w:val="0"/>
          <w:szCs w:val="20"/>
          <w:lang w:val="en-GB" w:eastAsia="ja-JP"/>
        </w:rPr>
        <w:t xml:space="preserve">re-evaluation (for </w:t>
      </w:r>
      <w:r w:rsidR="002A76A8">
        <w:rPr>
          <w:rStyle w:val="IvDbodytextChar"/>
          <w:rFonts w:cs="Arial"/>
          <w:spacing w:val="0"/>
          <w:szCs w:val="20"/>
          <w:lang w:val="en-GB" w:eastAsia="ja-JP"/>
        </w:rPr>
        <w:t>non-reserved resources, e.g., for initial transmission</w:t>
      </w:r>
      <w:r w:rsidR="00070E8D" w:rsidRPr="00F96758">
        <w:rPr>
          <w:rStyle w:val="IvDbodytextChar"/>
          <w:rFonts w:cs="Arial"/>
          <w:spacing w:val="0"/>
          <w:szCs w:val="20"/>
          <w:lang w:val="en-GB" w:eastAsia="ja-JP"/>
        </w:rPr>
        <w:t xml:space="preserve">) </w:t>
      </w:r>
      <w:r w:rsidR="00E5445D">
        <w:rPr>
          <w:rStyle w:val="IvDbodytextChar"/>
          <w:rFonts w:cs="Arial"/>
          <w:spacing w:val="0"/>
          <w:szCs w:val="20"/>
          <w:lang w:val="en-GB" w:eastAsia="ja-JP"/>
        </w:rPr>
        <w:t>or</w:t>
      </w:r>
      <w:r w:rsidR="00E5445D" w:rsidRPr="00F96758">
        <w:rPr>
          <w:rStyle w:val="IvDbodytextChar"/>
          <w:rFonts w:cs="Arial"/>
          <w:spacing w:val="0"/>
          <w:szCs w:val="20"/>
          <w:lang w:val="en-GB" w:eastAsia="ja-JP"/>
        </w:rPr>
        <w:t xml:space="preserve"> </w:t>
      </w:r>
      <w:r w:rsidR="00070E8D" w:rsidRPr="00F96758">
        <w:rPr>
          <w:rStyle w:val="IvDbodytextChar"/>
          <w:rFonts w:cs="Arial"/>
          <w:spacing w:val="0"/>
          <w:szCs w:val="20"/>
          <w:lang w:val="en-GB" w:eastAsia="ja-JP"/>
        </w:rPr>
        <w:t xml:space="preserve">pre-emption </w:t>
      </w:r>
      <w:r w:rsidR="00BA14EF" w:rsidRPr="00F96758">
        <w:rPr>
          <w:rStyle w:val="IvDbodytextChar"/>
          <w:rFonts w:cs="Arial"/>
          <w:spacing w:val="0"/>
          <w:szCs w:val="20"/>
          <w:lang w:val="en-GB" w:eastAsia="ja-JP"/>
        </w:rPr>
        <w:t xml:space="preserve">(for already reserved resource). That means, whenever LBT failure occurs before the selected resource, </w:t>
      </w:r>
      <w:r w:rsidR="00C51CA2" w:rsidRPr="00F96758">
        <w:rPr>
          <w:rStyle w:val="IvDbodytextChar"/>
          <w:rFonts w:cs="Arial"/>
          <w:spacing w:val="0"/>
          <w:szCs w:val="20"/>
          <w:lang w:val="en-GB" w:eastAsia="ja-JP"/>
        </w:rPr>
        <w:t xml:space="preserve">resource reselection is performed by the UE. </w:t>
      </w:r>
    </w:p>
    <w:p w14:paraId="2239F437" w14:textId="77777777" w:rsidR="00C51CA2" w:rsidRPr="00F96758" w:rsidRDefault="00C51CA2" w:rsidP="00D059F9">
      <w:pPr>
        <w:pStyle w:val="Doc-text2"/>
        <w:ind w:left="0" w:firstLine="0"/>
        <w:rPr>
          <w:rStyle w:val="IvDbodytextChar"/>
          <w:rFonts w:cs="Arial"/>
          <w:spacing w:val="0"/>
          <w:szCs w:val="20"/>
          <w:lang w:val="en-GB" w:eastAsia="ja-JP"/>
        </w:rPr>
      </w:pPr>
    </w:p>
    <w:p w14:paraId="1A2D3341" w14:textId="3EE8AB52" w:rsidR="00C51CA2" w:rsidRPr="002A5BD4" w:rsidRDefault="0061399A" w:rsidP="00C51CA2">
      <w:pPr>
        <w:pStyle w:val="Proposal"/>
        <w:rPr>
          <w:rStyle w:val="IvDbodytextChar"/>
          <w:rFonts w:cs="Arial"/>
          <w:spacing w:val="0"/>
          <w:szCs w:val="20"/>
          <w:lang w:val="en-GB" w:eastAsia="ja-JP"/>
        </w:rPr>
      </w:pPr>
      <w:bookmarkStart w:id="33" w:name="_Toc127544556"/>
      <w:r w:rsidRPr="00F96758">
        <w:rPr>
          <w:rStyle w:val="IvDbodytextChar"/>
          <w:rFonts w:cs="Arial"/>
          <w:spacing w:val="0"/>
          <w:szCs w:val="20"/>
          <w:lang w:val="en-GB" w:eastAsia="ja-JP"/>
        </w:rPr>
        <w:t>LBT failure before the selected resource trigger</w:t>
      </w:r>
      <w:r w:rsidR="00A45D2A" w:rsidRPr="00F96758">
        <w:rPr>
          <w:rStyle w:val="IvDbodytextChar"/>
          <w:rFonts w:cs="Arial"/>
          <w:spacing w:val="0"/>
          <w:szCs w:val="20"/>
          <w:lang w:val="en-GB" w:eastAsia="ja-JP"/>
        </w:rPr>
        <w:t>s</w:t>
      </w:r>
      <w:r w:rsidRPr="00F96758">
        <w:rPr>
          <w:rStyle w:val="IvDbodytextChar"/>
          <w:rFonts w:cs="Arial"/>
          <w:spacing w:val="0"/>
          <w:szCs w:val="20"/>
          <w:lang w:val="en-GB" w:eastAsia="ja-JP"/>
        </w:rPr>
        <w:t xml:space="preserve"> resource re-selection.</w:t>
      </w:r>
      <w:bookmarkEnd w:id="33"/>
      <w:r w:rsidRPr="00F96758">
        <w:rPr>
          <w:rStyle w:val="IvDbodytextChar"/>
          <w:rFonts w:cs="Arial"/>
          <w:spacing w:val="0"/>
          <w:szCs w:val="20"/>
          <w:lang w:val="en-GB" w:eastAsia="ja-JP"/>
        </w:rPr>
        <w:t xml:space="preserve"> </w:t>
      </w:r>
    </w:p>
    <w:p w14:paraId="09A06E3D" w14:textId="3F120177" w:rsidR="004E5648" w:rsidRDefault="00C06F2D" w:rsidP="00D6132E">
      <w:pPr>
        <w:pStyle w:val="Heading3"/>
        <w:rPr>
          <w:rStyle w:val="IvDbodytextChar"/>
          <w:spacing w:val="0"/>
          <w:lang w:eastAsia="ja-JP"/>
        </w:rPr>
      </w:pPr>
      <w:r w:rsidDel="00D212D7">
        <w:rPr>
          <w:rStyle w:val="IvDbodytextChar"/>
          <w:spacing w:val="0"/>
          <w:lang w:eastAsia="ja-JP"/>
        </w:rPr>
        <w:t>3.1.1</w:t>
      </w:r>
      <w:r w:rsidDel="00D212D7">
        <w:rPr>
          <w:rStyle w:val="IvDbodytextChar"/>
          <w:spacing w:val="0"/>
          <w:lang w:eastAsia="ja-JP"/>
        </w:rPr>
        <w:tab/>
      </w:r>
      <w:r w:rsidR="00D6132E">
        <w:rPr>
          <w:rStyle w:val="IvDbodytextChar"/>
          <w:spacing w:val="0"/>
          <w:lang w:eastAsia="ja-JP"/>
        </w:rPr>
        <w:t>Contention window adaptation</w:t>
      </w:r>
    </w:p>
    <w:p w14:paraId="4894ABB0" w14:textId="104A16B2" w:rsidR="0041721D" w:rsidRDefault="0041721D" w:rsidP="0041721D">
      <w:pPr>
        <w:rPr>
          <w:lang w:eastAsia="ja-JP"/>
        </w:rPr>
      </w:pPr>
      <w:r>
        <w:rPr>
          <w:lang w:eastAsia="ja-JP"/>
        </w:rPr>
        <w:t xml:space="preserve">In </w:t>
      </w:r>
      <w:r w:rsidR="008C77DC">
        <w:rPr>
          <w:lang w:eastAsia="ja-JP"/>
        </w:rPr>
        <w:t xml:space="preserve">the previous </w:t>
      </w:r>
      <w:r>
        <w:rPr>
          <w:lang w:eastAsia="ja-JP"/>
        </w:rPr>
        <w:t>RAN1</w:t>
      </w:r>
      <w:r w:rsidR="008C77DC">
        <w:rPr>
          <w:lang w:eastAsia="ja-JP"/>
        </w:rPr>
        <w:t xml:space="preserve"> meetings</w:t>
      </w:r>
      <w:r>
        <w:rPr>
          <w:lang w:eastAsia="ja-JP"/>
        </w:rPr>
        <w:t>, the following was agreed:</w:t>
      </w:r>
    </w:p>
    <w:tbl>
      <w:tblPr>
        <w:tblStyle w:val="TableGrid"/>
        <w:tblW w:w="0" w:type="auto"/>
        <w:tblLook w:val="04A0" w:firstRow="1" w:lastRow="0" w:firstColumn="1" w:lastColumn="0" w:noHBand="0" w:noVBand="1"/>
      </w:tblPr>
      <w:tblGrid>
        <w:gridCol w:w="9629"/>
      </w:tblGrid>
      <w:tr w:rsidR="00331C1F" w14:paraId="27C0849F" w14:textId="77777777" w:rsidTr="0041721D">
        <w:tc>
          <w:tcPr>
            <w:tcW w:w="9629" w:type="dxa"/>
          </w:tcPr>
          <w:p w14:paraId="1EE5C507" w14:textId="77777777" w:rsidR="0041721D" w:rsidRPr="006E4E14" w:rsidRDefault="0041721D" w:rsidP="00CC75F4">
            <w:pPr>
              <w:autoSpaceDE w:val="0"/>
              <w:autoSpaceDN w:val="0"/>
              <w:spacing w:before="240" w:after="0" w:line="240" w:lineRule="auto"/>
              <w:jc w:val="both"/>
              <w:rPr>
                <w:rFonts w:ascii="Times New Roman" w:eastAsia="SimSun" w:hAnsi="Times New Roman" w:cs="Times New Roman"/>
                <w:sz w:val="20"/>
                <w:szCs w:val="20"/>
                <w:lang w:eastAsia="zh-CN"/>
              </w:rPr>
            </w:pPr>
            <w:r w:rsidRPr="00E7665E">
              <w:rPr>
                <w:rFonts w:ascii="Times New Roman" w:eastAsia="SimSun" w:hAnsi="Times New Roman" w:cs="Times New Roman"/>
                <w:b/>
                <w:bCs/>
                <w:szCs w:val="20"/>
                <w:highlight w:val="green"/>
                <w:lang w:eastAsia="zh-CN"/>
              </w:rPr>
              <w:t>Agreement</w:t>
            </w:r>
          </w:p>
          <w:p w14:paraId="6FC45DAE" w14:textId="77777777" w:rsidR="0041721D" w:rsidRPr="006E4E14" w:rsidRDefault="0041721D" w:rsidP="0041721D">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CW adjustment</w:t>
            </w:r>
          </w:p>
          <w:p w14:paraId="5B4AC8A1" w14:textId="77777777" w:rsidR="0041721D" w:rsidRPr="006E4E14" w:rsidRDefault="0041721D" w:rsidP="0041721D">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 xml:space="preserve">NR-U DL CW adjustment mechanism is used as the baseline for SL-U when SL-HARQ feedback is enabled in SCI for unicast </w:t>
            </w:r>
          </w:p>
          <w:p w14:paraId="5EFFC265" w14:textId="77777777" w:rsidR="0041721D" w:rsidRPr="006E4E14" w:rsidRDefault="0041721D" w:rsidP="0041721D">
            <w:pPr>
              <w:numPr>
                <w:ilvl w:val="2"/>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lastRenderedPageBreak/>
              <w:t>FFS any necessary update for SL-U operation</w:t>
            </w:r>
          </w:p>
          <w:p w14:paraId="14D18AD7" w14:textId="77777777" w:rsidR="0041721D" w:rsidRPr="006E4E14" w:rsidRDefault="0041721D" w:rsidP="0041721D">
            <w:pPr>
              <w:numPr>
                <w:ilvl w:val="1"/>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GB" w:eastAsia="x-none"/>
              </w:rPr>
              <w:t>FFS: how to determine CW size when SL-HARQ feedback is disabled in SCI</w:t>
            </w:r>
          </w:p>
          <w:p w14:paraId="3A57E91F" w14:textId="77777777" w:rsidR="0041721D" w:rsidRPr="006E4E14" w:rsidRDefault="0041721D" w:rsidP="00CC75F4">
            <w:pPr>
              <w:numPr>
                <w:ilvl w:val="1"/>
                <w:numId w:val="27"/>
              </w:numPr>
              <w:autoSpaceDE w:val="0"/>
              <w:autoSpaceDN w:val="0"/>
              <w:spacing w:line="240" w:lineRule="auto"/>
              <w:jc w:val="both"/>
              <w:rPr>
                <w:rFonts w:ascii="Times New Roman" w:eastAsia="Batang" w:hAnsi="Times New Roman" w:cs="Times New Roman"/>
                <w:sz w:val="20"/>
                <w:szCs w:val="20"/>
                <w:lang w:val="en-GB" w:eastAsia="x-none"/>
              </w:rPr>
            </w:pPr>
            <w:r w:rsidRPr="006E4E14">
              <w:rPr>
                <w:rFonts w:ascii="Times New Roman" w:eastAsia="Batang" w:hAnsi="Times New Roman" w:cs="Times New Roman"/>
                <w:szCs w:val="20"/>
                <w:lang w:val="en-AU" w:eastAsia="x-none"/>
              </w:rPr>
              <w:t xml:space="preserve">FFS the case of groupcast option 1 (NACK-only) and </w:t>
            </w:r>
            <w:r w:rsidRPr="006E4E14">
              <w:rPr>
                <w:rFonts w:ascii="Times New Roman" w:eastAsia="Batang" w:hAnsi="Times New Roman" w:cs="Times New Roman"/>
                <w:szCs w:val="20"/>
                <w:lang w:val="en-GB" w:eastAsia="x-none"/>
              </w:rPr>
              <w:t>groupcast option 2</w:t>
            </w:r>
          </w:p>
          <w:p w14:paraId="543953A1" w14:textId="77777777" w:rsidR="0043094C" w:rsidRPr="00E7665E" w:rsidRDefault="0043094C" w:rsidP="0043094C">
            <w:pPr>
              <w:autoSpaceDE w:val="0"/>
              <w:autoSpaceDN w:val="0"/>
              <w:spacing w:before="120"/>
              <w:jc w:val="both"/>
              <w:rPr>
                <w:rFonts w:ascii="Times New Roman" w:hAnsi="Times New Roman" w:cs="Times New Roman"/>
                <w:sz w:val="20"/>
                <w:szCs w:val="20"/>
              </w:rPr>
            </w:pPr>
            <w:r w:rsidRPr="00E7665E">
              <w:rPr>
                <w:rFonts w:ascii="Times New Roman" w:hAnsi="Times New Roman" w:cs="Times New Roman"/>
                <w:b/>
                <w:bCs/>
                <w:szCs w:val="20"/>
                <w:highlight w:val="green"/>
              </w:rPr>
              <w:t>Agreement</w:t>
            </w:r>
          </w:p>
          <w:p w14:paraId="364A223A" w14:textId="77777777" w:rsidR="0043094C" w:rsidRPr="006E4E14" w:rsidRDefault="0043094C" w:rsidP="0043094C">
            <w:pPr>
              <w:pStyle w:val="ListParagraph"/>
              <w:numPr>
                <w:ilvl w:val="0"/>
                <w:numId w:val="27"/>
              </w:numPr>
              <w:autoSpaceDE w:val="0"/>
              <w:autoSpaceDN w:val="0"/>
              <w:spacing w:line="240" w:lineRule="auto"/>
              <w:ind w:left="72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RAN1 is to study the definition of a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SL reference duration</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following the NR-U principle and RAN1 is to agree on the definition before down-selection to an option for CW adjustment for SL HARQ-ACK feedback enabled/disabled and each cast type</w:t>
            </w:r>
          </w:p>
          <w:p w14:paraId="550FE3A2" w14:textId="77777777" w:rsidR="0043094C" w:rsidRPr="006E4E14" w:rsidRDefault="0043094C" w:rsidP="0043094C">
            <w:pPr>
              <w:pStyle w:val="ListParagraph"/>
              <w:numPr>
                <w:ilvl w:val="0"/>
                <w:numId w:val="27"/>
              </w:numPr>
              <w:autoSpaceDE w:val="0"/>
              <w:autoSpaceDN w:val="0"/>
              <w:spacing w:line="240" w:lineRule="auto"/>
              <w:ind w:left="72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In Type 1 SL channel access procedure, further study the following cases and options. Other options are not precluded. </w:t>
            </w:r>
          </w:p>
          <w:p w14:paraId="5D9CB283" w14:textId="77777777" w:rsidR="0043094C" w:rsidRPr="006E4E14" w:rsidRDefault="0043094C" w:rsidP="0043094C">
            <w:pPr>
              <w:pStyle w:val="ListParagraph"/>
              <w:numPr>
                <w:ilvl w:val="1"/>
                <w:numId w:val="27"/>
              </w:numPr>
              <w:autoSpaceDE w:val="0"/>
              <w:autoSpaceDN w:val="0"/>
              <w:spacing w:line="240" w:lineRule="auto"/>
              <w:ind w:left="144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CW adjustment when SL-HARQ feedback is disabled </w:t>
            </w:r>
            <w:r w:rsidRPr="006E4E14">
              <w:rPr>
                <w:rFonts w:ascii="Times New Roman" w:hAnsi="Times New Roman"/>
                <w:color w:val="000000"/>
                <w:sz w:val="20"/>
                <w:szCs w:val="20"/>
              </w:rPr>
              <w:t xml:space="preserve">(at least if all transmissions within the </w:t>
            </w:r>
            <w:r w:rsidRPr="006E4E14">
              <w:rPr>
                <w:rFonts w:ascii="Times New Roman" w:hAnsi="Times New Roman"/>
                <w:color w:val="000000"/>
                <w:sz w:val="20"/>
                <w:szCs w:val="20"/>
                <w:lang w:eastAsia="ko-KR"/>
              </w:rPr>
              <w:t xml:space="preserve">latest </w:t>
            </w:r>
            <w:r w:rsidRPr="006E4E14">
              <w:rPr>
                <w:rFonts w:ascii="Times New Roman" w:hAnsi="Times New Roman"/>
                <w:color w:val="000000"/>
                <w:sz w:val="20"/>
                <w:szCs w:val="20"/>
              </w:rPr>
              <w:t>SL reference duration have SL-HARQ feedback disabled):</w:t>
            </w:r>
          </w:p>
          <w:p w14:paraId="5F7944AC"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1: </w:t>
            </w:r>
            <w:r w:rsidRPr="006E4E14">
              <w:rPr>
                <w:rFonts w:ascii="Times New Roman" w:hAnsi="Times New Roman"/>
                <w:color w:val="000000"/>
                <w:sz w:val="20"/>
                <w:szCs w:val="20"/>
                <w:lang w:eastAsia="ko-KR"/>
              </w:rPr>
              <w:t>F</w:t>
            </w:r>
            <w:r w:rsidRPr="006E4E14">
              <w:rPr>
                <w:rFonts w:ascii="Times New Roman" w:hAnsi="Times New Roman"/>
                <w:color w:val="000000"/>
                <w:sz w:val="20"/>
                <w:szCs w:val="20"/>
                <w:lang w:val="en-AU" w:eastAsia="ko-KR"/>
              </w:rPr>
              <w:t xml:space="preserve">or every priority class </w:t>
            </w:r>
            <w:r w:rsidRPr="006E4E14">
              <w:rPr>
                <w:rFonts w:ascii="Times New Roman" w:hAnsi="Times New Roman"/>
                <w:color w:val="000000"/>
                <w:sz w:val="20"/>
                <w:szCs w:val="20"/>
                <w:lang w:val="en-AU" w:eastAsia="ko-KR"/>
              </w:rPr>
              <w:fldChar w:fldCharType="begin"/>
            </w:r>
            <w:r w:rsidRPr="006E4E14">
              <w:rPr>
                <w:rFonts w:ascii="Times New Roman" w:hAnsi="Times New Roman"/>
                <w:color w:val="000000"/>
                <w:sz w:val="20"/>
                <w:szCs w:val="20"/>
                <w:lang w:val="en-AU" w:eastAsia="ko-KR"/>
              </w:rPr>
              <w:instrText xml:space="preserve"> QUOTE </w:instrText>
            </w:r>
            <w:r w:rsidR="005E415E">
              <w:rPr>
                <w:rFonts w:ascii="Times New Roman" w:hAnsi="Times New Roman"/>
                <w:noProof/>
                <w:position w:val="-6"/>
                <w:sz w:val="20"/>
                <w:szCs w:val="20"/>
              </w:rPr>
              <w:pict w14:anchorId="577E5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6E80&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56E80&quot; wsp:rsidP=&quot;00256E80&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val="en-AU" w:eastAsia="ko-KR"/>
              </w:rPr>
              <w:instrText xml:space="preserve"> </w:instrText>
            </w:r>
            <w:r w:rsidRPr="006E4E14">
              <w:rPr>
                <w:rFonts w:ascii="Times New Roman" w:hAnsi="Times New Roman"/>
                <w:color w:val="000000"/>
                <w:sz w:val="20"/>
                <w:szCs w:val="20"/>
                <w:lang w:val="en-AU" w:eastAsia="ko-KR"/>
              </w:rPr>
              <w:fldChar w:fldCharType="separate"/>
            </w:r>
            <w:r w:rsidR="005E415E">
              <w:rPr>
                <w:rFonts w:ascii="Times New Roman" w:hAnsi="Times New Roman"/>
                <w:noProof/>
                <w:position w:val="-6"/>
                <w:sz w:val="20"/>
                <w:szCs w:val="20"/>
              </w:rPr>
              <w:pict w14:anchorId="495B1187">
                <v:shape id="_x0000_i1056"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6E80&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56E80&quot; wsp:rsidP=&quot;00256E80&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val="en-AU" w:eastAsia="ko-KR"/>
              </w:rPr>
              <w:fldChar w:fldCharType="end"/>
            </w:r>
            <w:r w:rsidRPr="006E4E14">
              <w:rPr>
                <w:rFonts w:ascii="Times New Roman" w:hAnsi="Times New Roman"/>
                <w:color w:val="000000"/>
                <w:sz w:val="20"/>
                <w:szCs w:val="20"/>
                <w:lang w:val="en-AU" w:eastAsia="ko-KR"/>
              </w:rPr>
              <w:t>,</w:t>
            </w:r>
            <w:r w:rsidRPr="006E4E14">
              <w:rPr>
                <w:rFonts w:ascii="Times New Roman" w:hAnsi="Times New Roman"/>
                <w:i/>
                <w:color w:val="000000"/>
                <w:sz w:val="20"/>
                <w:szCs w:val="20"/>
                <w:lang w:val="en-AU" w:eastAsia="ko-KR"/>
              </w:rPr>
              <w:t xml:space="preserve"> </w:t>
            </w:r>
            <w:r w:rsidRPr="006E4E14">
              <w:rPr>
                <w:rFonts w:ascii="Times New Roman" w:hAnsi="Times New Roman"/>
                <w:color w:val="000000"/>
                <w:sz w:val="20"/>
                <w:szCs w:val="20"/>
                <w:lang w:eastAsia="ko-KR"/>
              </w:rPr>
              <w:t xml:space="preserve">use the latest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0"/>
                  <w:szCs w:val="20"/>
                  <w:lang w:eastAsia="ko-KR"/>
                </w:rPr>
                <m:t>p</m:t>
              </m:r>
            </m:oMath>
            <w:r w:rsidRPr="006E4E14">
              <w:rPr>
                <w:rFonts w:ascii="Times New Roman" w:hAnsi="Times New Roman"/>
                <w:color w:val="000000"/>
                <w:sz w:val="20"/>
                <w:szCs w:val="20"/>
                <w:lang w:eastAsia="ko-KR"/>
              </w:rPr>
              <w:t>.</w:t>
            </w:r>
          </w:p>
          <w:p w14:paraId="4A4C68B4"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2: </w:t>
            </w:r>
            <w:r w:rsidRPr="006E4E14">
              <w:rPr>
                <w:rFonts w:ascii="Times New Roman" w:hAnsi="Times New Roman"/>
                <w:color w:val="000000"/>
                <w:sz w:val="20"/>
                <w:szCs w:val="20"/>
                <w:lang w:eastAsia="ko-KR"/>
              </w:rPr>
              <w:t>CW is adjusted according to number blind retransmissions of the TBs within a COT.</w:t>
            </w:r>
          </w:p>
          <w:p w14:paraId="7059A2A5"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3: CW is adjusted according to CR/CBR measurement, </w:t>
            </w:r>
            <w:r w:rsidRPr="006E4E14">
              <w:rPr>
                <w:rFonts w:ascii="Times New Roman" w:hAnsi="Times New Roman"/>
                <w:color w:val="000000"/>
                <w:sz w:val="20"/>
                <w:szCs w:val="20"/>
              </w:rPr>
              <w:t>if CR/CBR is supported for SL-U</w:t>
            </w:r>
          </w:p>
          <w:p w14:paraId="39C18B4E"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4: If a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ja-JP"/>
              </w:rPr>
              <w:t xml:space="preserve"> </w:t>
            </w:r>
            <w:r w:rsidRPr="006E4E14">
              <w:rPr>
                <w:rFonts w:ascii="Times New Roman" w:hAnsi="Times New Roman"/>
                <w:color w:val="000000"/>
                <w:sz w:val="20"/>
                <w:szCs w:val="20"/>
                <w:lang w:eastAsia="ko-KR"/>
              </w:rPr>
              <w:t xml:space="preserve">is consecutively used </w:t>
            </w:r>
            <m:oMath>
              <m:r>
                <w:rPr>
                  <w:rFonts w:ascii="Cambria Math" w:hAnsi="Cambria Math"/>
                  <w:color w:val="000000"/>
                  <w:sz w:val="20"/>
                  <w:szCs w:val="20"/>
                  <w:lang w:eastAsia="ko-KR"/>
                </w:rPr>
                <m:t>K</m:t>
              </m:r>
            </m:oMath>
            <w:r w:rsidRPr="006E4E14">
              <w:rPr>
                <w:rFonts w:ascii="Times New Roman" w:hAnsi="Times New Roman"/>
                <w:color w:val="000000"/>
                <w:sz w:val="20"/>
                <w:szCs w:val="20"/>
                <w:lang w:eastAsia="ko-KR"/>
              </w:rPr>
              <w:t xml:space="preserve"> times for generation of </w:t>
            </w:r>
            <m:oMath>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N</m:t>
                  </m:r>
                </m:e>
                <m:sub>
                  <m:r>
                    <w:rPr>
                      <w:rFonts w:ascii="Cambria Math" w:hAnsi="Cambria Math"/>
                      <w:color w:val="000000"/>
                      <w:sz w:val="20"/>
                      <w:szCs w:val="20"/>
                      <w:lang w:eastAsia="ko-KR"/>
                    </w:rPr>
                    <m:t>init</m:t>
                  </m:r>
                </m:sub>
              </m:sSub>
            </m:oMath>
            <w:r w:rsidRPr="006E4E14">
              <w:rPr>
                <w:rFonts w:ascii="Times New Roman" w:hAnsi="Times New Roman"/>
                <w:color w:val="000000"/>
                <w:sz w:val="20"/>
                <w:szCs w:val="20"/>
                <w:lang w:eastAsia="ko-KR"/>
              </w:rPr>
              <w:t xml:space="preserv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is updated for each priority class </w:t>
            </w:r>
            <w:r w:rsidRPr="006E4E14">
              <w:rPr>
                <w:rFonts w:ascii="Times New Roman" w:hAnsi="Times New Roman"/>
                <w:color w:val="000000"/>
                <w:sz w:val="20"/>
                <w:szCs w:val="20"/>
                <w:lang w:eastAsia="ja-JP"/>
              </w:rPr>
              <w:fldChar w:fldCharType="begin"/>
            </w:r>
            <w:r w:rsidRPr="006E4E14">
              <w:rPr>
                <w:rFonts w:ascii="Times New Roman" w:hAnsi="Times New Roman"/>
                <w:color w:val="000000"/>
                <w:sz w:val="20"/>
                <w:szCs w:val="20"/>
                <w:lang w:eastAsia="ja-JP"/>
              </w:rPr>
              <w:instrText xml:space="preserve"> QUOTE </w:instrText>
            </w:r>
            <w:r w:rsidR="005E415E">
              <w:rPr>
                <w:rFonts w:ascii="Times New Roman" w:hAnsi="Times New Roman"/>
                <w:noProof/>
                <w:position w:val="-6"/>
                <w:sz w:val="20"/>
                <w:szCs w:val="20"/>
              </w:rPr>
              <w:pict w14:anchorId="669742C2">
                <v:shape id="_x0000_i1055"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3634&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013634&quot; wsp:rsidP=&quot;00013634&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ja-JP"/>
              </w:rPr>
              <w:instrText xml:space="preserve"> </w:instrText>
            </w:r>
            <w:r w:rsidRPr="006E4E14">
              <w:rPr>
                <w:rFonts w:ascii="Times New Roman" w:hAnsi="Times New Roman"/>
                <w:color w:val="000000"/>
                <w:sz w:val="20"/>
                <w:szCs w:val="20"/>
                <w:lang w:eastAsia="ja-JP"/>
              </w:rPr>
              <w:fldChar w:fldCharType="separate"/>
            </w:r>
            <w:r w:rsidR="005E415E">
              <w:rPr>
                <w:rFonts w:ascii="Times New Roman" w:hAnsi="Times New Roman"/>
                <w:noProof/>
                <w:position w:val="-6"/>
                <w:sz w:val="20"/>
                <w:szCs w:val="20"/>
              </w:rPr>
              <w:pict w14:anchorId="0F8BDD00">
                <v:shape id="_x0000_i1054"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3634&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013634&quot; wsp:rsidP=&quot;00013634&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ja-JP"/>
              </w:rPr>
              <w:fldChar w:fldCharType="end"/>
            </w:r>
            <w:r w:rsidRPr="006E4E14">
              <w:rPr>
                <w:rFonts w:ascii="Times New Roman" w:hAnsi="Times New Roman"/>
                <w:color w:val="000000"/>
                <w:sz w:val="20"/>
                <w:szCs w:val="20"/>
                <w:lang w:eastAsia="ja-JP"/>
              </w:rPr>
              <w:t xml:space="preserve"> </w:t>
            </w:r>
            <w:r w:rsidRPr="006E4E14">
              <w:rPr>
                <w:rFonts w:ascii="Times New Roman" w:hAnsi="Times New Roman"/>
                <w:color w:val="000000"/>
                <w:sz w:val="20"/>
                <w:szCs w:val="20"/>
                <w:lang w:eastAsia="ko-KR"/>
              </w:rPr>
              <w:t>to the next higher allowed value.</w:t>
            </w:r>
          </w:p>
          <w:p w14:paraId="5109F073"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5: </w:t>
            </w:r>
            <w:r w:rsidRPr="006E4E14">
              <w:rPr>
                <w:rFonts w:ascii="Times New Roman" w:hAnsi="Times New Roman"/>
                <w:color w:val="000000"/>
                <w:sz w:val="20"/>
                <w:szCs w:val="20"/>
                <w:lang w:val="en-AU" w:eastAsia="ko-KR"/>
              </w:rPr>
              <w:t xml:space="preserve">If a collision indicator is received, </w:t>
            </w:r>
            <w:r w:rsidRPr="006E4E14">
              <w:rPr>
                <w:rFonts w:ascii="Times New Roman" w:hAnsi="Times New Roman"/>
                <w:color w:val="000000"/>
                <w:sz w:val="20"/>
                <w:szCs w:val="20"/>
                <w:lang w:eastAsia="ko-KR"/>
              </w:rPr>
              <w:t xml:space="preserve">increase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lang w:eastAsia="ko-KR"/>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for every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6"/>
                <w:sz w:val="20"/>
                <w:szCs w:val="20"/>
              </w:rPr>
              <w:pict w14:anchorId="4F29F049">
                <v:shape id="_x0000_i1053"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01D4&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A001D4&quot; wsp:rsidP=&quot;00A001D4&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lang w:fareast=&quot;KO&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6"/>
                <w:sz w:val="20"/>
                <w:szCs w:val="20"/>
              </w:rPr>
              <w:pict w14:anchorId="7D2A368D">
                <v:shape id="_x0000_i1052"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01D4&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A001D4&quot; wsp:rsidP=&quot;00A001D4&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lang w:fareast=&quot;KO&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to the next higher allowed value.</w:t>
            </w:r>
          </w:p>
          <w:p w14:paraId="055A3FB3" w14:textId="77A2E2A4" w:rsidR="0043094C" w:rsidRPr="006E4E14" w:rsidRDefault="0043094C" w:rsidP="0043094C">
            <w:pPr>
              <w:pStyle w:val="ListParagraph"/>
              <w:numPr>
                <w:ilvl w:val="1"/>
                <w:numId w:val="27"/>
              </w:numPr>
              <w:autoSpaceDE w:val="0"/>
              <w:autoSpaceDN w:val="0"/>
              <w:spacing w:line="240" w:lineRule="auto"/>
              <w:ind w:left="144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CW adjustment for groupcast option 2 with SL-HARQ feedback enabled (</w:t>
            </w:r>
            <w:r w:rsidRPr="006E4E14">
              <w:rPr>
                <w:rFonts w:ascii="Times New Roman" w:hAnsi="Times New Roman"/>
                <w:color w:val="000000"/>
                <w:sz w:val="20"/>
                <w:szCs w:val="20"/>
              </w:rPr>
              <w:t>at least In case only groupcast option 2 PSSCH(s) is (are) transmitted within the latest SL reference duration</w:t>
            </w:r>
            <w:r w:rsidRPr="006E4E14">
              <w:rPr>
                <w:rFonts w:ascii="Times New Roman" w:hAnsi="Times New Roman"/>
                <w:color w:val="000000"/>
                <w:sz w:val="20"/>
                <w:szCs w:val="20"/>
                <w:lang w:eastAsia="ko-KR"/>
              </w:rPr>
              <w:t xml:space="preserve">): </w:t>
            </w:r>
          </w:p>
          <w:p w14:paraId="724A7A49"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1: Based on a (pre-)configurable ratio of received SL HARQ-ACK feedbacks in the latest SL reference duration,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val="en-AU" w:eastAsia="ko-KR"/>
              </w:rPr>
              <w:t xml:space="preserve"> is reset to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val="en-AU" w:eastAsia="ko-KR"/>
                    </w:rPr>
                    <m:t>min,</m:t>
                  </m:r>
                  <m:r>
                    <w:rPr>
                      <w:rFonts w:ascii="Cambria Math" w:hAnsi="Cambria Math"/>
                      <w:color w:val="000000"/>
                      <w:sz w:val="20"/>
                      <w:szCs w:val="20"/>
                      <w:lang w:eastAsia="ko-KR"/>
                    </w:rPr>
                    <m:t>p</m:t>
                  </m:r>
                </m:sub>
              </m:sSub>
            </m:oMath>
            <w:r w:rsidRPr="006E4E14">
              <w:rPr>
                <w:rFonts w:ascii="Times New Roman" w:hAnsi="Times New Roman"/>
                <w:i/>
                <w:color w:val="000000"/>
                <w:sz w:val="20"/>
                <w:szCs w:val="20"/>
                <w:lang w:eastAsia="ko-KR"/>
              </w:rPr>
              <w:t xml:space="preserve"> </w:t>
            </w:r>
            <w:r w:rsidRPr="006E4E14">
              <w:rPr>
                <w:rFonts w:ascii="Times New Roman" w:hAnsi="Times New Roman"/>
                <w:color w:val="000000"/>
                <w:sz w:val="20"/>
                <w:szCs w:val="20"/>
                <w:lang w:val="en-AU" w:eastAsia="ko-KR"/>
              </w:rPr>
              <w:t xml:space="preserve">for every priority class </w:t>
            </w:r>
            <w:r w:rsidRPr="006E4E14">
              <w:rPr>
                <w:rFonts w:ascii="Times New Roman" w:hAnsi="Times New Roman"/>
                <w:color w:val="000000"/>
                <w:sz w:val="20"/>
                <w:szCs w:val="20"/>
                <w:lang w:val="en-AU" w:eastAsia="ko-KR"/>
              </w:rPr>
              <w:fldChar w:fldCharType="begin"/>
            </w:r>
            <w:r w:rsidRPr="006E4E14">
              <w:rPr>
                <w:rFonts w:ascii="Times New Roman" w:hAnsi="Times New Roman"/>
                <w:color w:val="000000"/>
                <w:sz w:val="20"/>
                <w:szCs w:val="20"/>
                <w:lang w:val="en-AU" w:eastAsia="ko-KR"/>
              </w:rPr>
              <w:instrText xml:space="preserve"> QUOTE </w:instrText>
            </w:r>
            <w:r w:rsidR="005E415E">
              <w:rPr>
                <w:rFonts w:ascii="Times New Roman" w:hAnsi="Times New Roman"/>
                <w:noProof/>
                <w:position w:val="-6"/>
                <w:sz w:val="20"/>
                <w:szCs w:val="20"/>
              </w:rPr>
              <w:pict w14:anchorId="00DD9B0D">
                <v:shape id="_x0000_i1051"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3140&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B73140&quot; wsp:rsidP=&quot;00B73140&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val="en-AU" w:eastAsia="ko-KR"/>
              </w:rPr>
              <w:instrText xml:space="preserve"> </w:instrText>
            </w:r>
            <w:r w:rsidRPr="006E4E14">
              <w:rPr>
                <w:rFonts w:ascii="Times New Roman" w:hAnsi="Times New Roman"/>
                <w:color w:val="000000"/>
                <w:sz w:val="20"/>
                <w:szCs w:val="20"/>
                <w:lang w:val="en-AU" w:eastAsia="ko-KR"/>
              </w:rPr>
              <w:fldChar w:fldCharType="separate"/>
            </w:r>
            <w:r w:rsidR="005E415E">
              <w:rPr>
                <w:rFonts w:ascii="Times New Roman" w:hAnsi="Times New Roman"/>
                <w:noProof/>
                <w:position w:val="-6"/>
                <w:sz w:val="20"/>
                <w:szCs w:val="20"/>
              </w:rPr>
              <w:pict w14:anchorId="18077478">
                <v:shape id="_x0000_i1050"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3140&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B73140&quot; wsp:rsidP=&quot;00B73140&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val="en-AU" w:eastAsia="ko-KR"/>
              </w:rPr>
              <w:fldChar w:fldCharType="end"/>
            </w:r>
            <w:r w:rsidRPr="006E4E14">
              <w:rPr>
                <w:rFonts w:ascii="Times New Roman" w:hAnsi="Times New Roman"/>
                <w:color w:val="000000"/>
                <w:sz w:val="20"/>
                <w:szCs w:val="20"/>
                <w:lang w:val="en-AU" w:eastAsia="ko-KR"/>
              </w:rPr>
              <w:t xml:space="preserve">, otherwise </w:t>
            </w:r>
            <w:r w:rsidRPr="006E4E14">
              <w:rPr>
                <w:rFonts w:ascii="Times New Roman" w:hAnsi="Times New Roman"/>
                <w:color w:val="000000"/>
                <w:sz w:val="20"/>
                <w:szCs w:val="20"/>
                <w:lang w:eastAsia="ko-KR"/>
              </w:rPr>
              <w:t xml:space="preserve">increase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for every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6"/>
                <w:sz w:val="20"/>
                <w:szCs w:val="20"/>
              </w:rPr>
              <w:pict w14:anchorId="526FA208">
                <v:shape id="_x0000_i1049"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C7B75&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C7B75&quot; wsp:rsidP=&quot;00FC7B75&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6"/>
                <w:sz w:val="20"/>
                <w:szCs w:val="20"/>
              </w:rPr>
              <w:pict w14:anchorId="7BE777A2">
                <v:shape id="_x0000_i1048"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C7B75&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C7B75&quot; wsp:rsidP=&quot;00FC7B75&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to the next higher allowed value. </w:t>
            </w:r>
          </w:p>
          <w:p w14:paraId="2E422E91"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FFS: whether the ratio of the received SL HARQ-ACK feedbacks is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NACK</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or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ACK+NACK</w:t>
            </w:r>
            <w:r w:rsidRPr="006E4E14">
              <w:rPr>
                <w:rFonts w:ascii="Times New Roman" w:hAnsi="Times New Roman"/>
                <w:color w:val="000000"/>
                <w:sz w:val="20"/>
                <w:szCs w:val="20"/>
              </w:rPr>
              <w:t>’</w:t>
            </w:r>
          </w:p>
          <w:p w14:paraId="3C0147D1"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FFS: how to calculate the ratio</w:t>
            </w:r>
          </w:p>
          <w:p w14:paraId="182D0049"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FFS: the (pre-)configuration ratio values</w:t>
            </w:r>
          </w:p>
          <w:p w14:paraId="11709E74"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2: If at least a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 xml:space="preserve">, for each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6"/>
                <w:sz w:val="20"/>
                <w:szCs w:val="20"/>
              </w:rPr>
              <w:pict w14:anchorId="335D05A7">
                <v:shape id="_x0000_i1047"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646&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5C5646&quot; wsp:rsidP=&quot;005C5646&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6"/>
                <w:sz w:val="20"/>
                <w:szCs w:val="20"/>
              </w:rPr>
              <w:pict w14:anchorId="560912F5">
                <v:shape id="_x0000_i1046"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646&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5C5646&quot; wsp:rsidP=&quot;005C5646&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w:t>
            </w:r>
            <m:oMath>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r>
                <m:rPr>
                  <m:sty m:val="p"/>
                </m:rPr>
                <w:rPr>
                  <w:rFonts w:ascii="Cambria Math" w:hAnsi="Cambria Math"/>
                  <w:color w:val="000000"/>
                  <w:sz w:val="20"/>
                  <w:szCs w:val="20"/>
                  <w:lang w:eastAsia="ko-KR"/>
                </w:rPr>
                <m:t>=</m:t>
              </m:r>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color w:val="000000"/>
                          <w:sz w:val="20"/>
                          <w:szCs w:val="20"/>
                        </w:rPr>
                      </m:ctrlPr>
                    </m:funcPr>
                    <m:fName>
                      <m:r>
                        <w:rPr>
                          <w:rFonts w:ascii="Cambria Math" w:hAnsi="Cambria Math"/>
                          <w:color w:val="000000"/>
                          <w:sz w:val="20"/>
                          <w:szCs w:val="20"/>
                          <w:lang w:eastAsia="ko-KR"/>
                        </w:rPr>
                        <m:t>min</m:t>
                      </m:r>
                      <m:r>
                        <m:rPr>
                          <m:sty m:val="p"/>
                        </m:rPr>
                        <w:rPr>
                          <w:rFonts w:ascii="Cambria Math" w:hAnsi="Cambria Math"/>
                          <w:color w:val="000000"/>
                          <w:sz w:val="20"/>
                          <w:szCs w:val="20"/>
                          <w:lang w:eastAsia="ko-KR"/>
                        </w:rPr>
                        <m:t>,</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otherwise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9"/>
                <w:sz w:val="20"/>
                <w:szCs w:val="20"/>
              </w:rPr>
              <w:pict w14:anchorId="114C48D6">
                <v:shape id="_x0000_i1045" type="#_x0000_t75" alt="" style="width:21.4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408B&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E408B&quot; wsp:rsidP=&quot;002E408B&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Â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9"/>
                <w:sz w:val="20"/>
                <w:szCs w:val="20"/>
              </w:rPr>
              <w:pict w14:anchorId="60BAC6C7">
                <v:shape id="_x0000_i1044" type="#_x0000_t75" alt="" style="width:21.4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408B&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E408B&quot; wsp:rsidP=&quot;002E408B&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Â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is increased.</w:t>
            </w:r>
          </w:p>
          <w:p w14:paraId="287B88E1" w14:textId="77777777" w:rsidR="0043094C" w:rsidRPr="006E4E14" w:rsidRDefault="0043094C" w:rsidP="0043094C">
            <w:pPr>
              <w:pStyle w:val="ListParagraph"/>
              <w:numPr>
                <w:ilvl w:val="1"/>
                <w:numId w:val="27"/>
              </w:numPr>
              <w:autoSpaceDE w:val="0"/>
              <w:autoSpaceDN w:val="0"/>
              <w:spacing w:line="240" w:lineRule="auto"/>
              <w:ind w:left="144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FFS whether </w:t>
            </w:r>
            <w:r w:rsidRPr="006E4E14">
              <w:rPr>
                <w:rFonts w:ascii="Times New Roman" w:hAnsi="Times New Roman"/>
                <w:color w:val="000000"/>
                <w:sz w:val="20"/>
                <w:szCs w:val="20"/>
                <w:lang w:val="en-AU" w:eastAsia="ko-KR"/>
              </w:rPr>
              <w:t xml:space="preserve">groupcast option 1 (NACK-only) </w:t>
            </w:r>
            <w:r w:rsidRPr="006E4E14">
              <w:rPr>
                <w:rFonts w:ascii="Times New Roman" w:hAnsi="Times New Roman"/>
                <w:color w:val="000000"/>
                <w:sz w:val="20"/>
                <w:szCs w:val="20"/>
                <w:lang w:eastAsia="ko-KR"/>
              </w:rPr>
              <w:t xml:space="preserve">with SL-HARQ feedback enabled </w:t>
            </w:r>
            <w:r w:rsidRPr="006E4E14">
              <w:rPr>
                <w:rFonts w:ascii="Times New Roman" w:hAnsi="Times New Roman"/>
                <w:color w:val="000000"/>
                <w:sz w:val="20"/>
                <w:szCs w:val="20"/>
                <w:lang w:val="en-AU" w:eastAsia="ko-KR"/>
              </w:rPr>
              <w:t xml:space="preserve">can be supported for SL-U. If supported, further study the following options (at least </w:t>
            </w:r>
            <w:r w:rsidRPr="006E4E14">
              <w:rPr>
                <w:rFonts w:ascii="Times New Roman" w:hAnsi="Times New Roman"/>
                <w:color w:val="000000"/>
                <w:sz w:val="20"/>
                <w:szCs w:val="20"/>
              </w:rPr>
              <w:t xml:space="preserve">if all transmissions within the latest SL reference duration are </w:t>
            </w:r>
            <w:r w:rsidRPr="006E4E14">
              <w:rPr>
                <w:rFonts w:ascii="Times New Roman" w:hAnsi="Times New Roman"/>
                <w:color w:val="000000"/>
                <w:sz w:val="20"/>
                <w:szCs w:val="20"/>
                <w:lang w:val="en-AU"/>
              </w:rPr>
              <w:t>groupcast option 1</w:t>
            </w:r>
            <w:r w:rsidRPr="006E4E14">
              <w:rPr>
                <w:rFonts w:ascii="Times New Roman" w:hAnsi="Times New Roman"/>
                <w:color w:val="000000"/>
                <w:sz w:val="20"/>
                <w:szCs w:val="20"/>
              </w:rPr>
              <w:t xml:space="preserve"> transmissions)</w:t>
            </w:r>
          </w:p>
          <w:p w14:paraId="263EF72E"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1: For every priority class </w:t>
            </w:r>
            <w:r w:rsidRPr="006E4E14">
              <w:rPr>
                <w:rFonts w:ascii="Times New Roman" w:hAnsi="Times New Roman"/>
                <w:color w:val="000000"/>
                <w:sz w:val="20"/>
                <w:szCs w:val="20"/>
                <w:lang w:val="en-AU" w:eastAsia="ko-KR"/>
              </w:rPr>
              <w:fldChar w:fldCharType="begin"/>
            </w:r>
            <w:r w:rsidRPr="006E4E14">
              <w:rPr>
                <w:rFonts w:ascii="Times New Roman" w:hAnsi="Times New Roman"/>
                <w:color w:val="000000"/>
                <w:sz w:val="20"/>
                <w:szCs w:val="20"/>
                <w:lang w:val="en-AU" w:eastAsia="ko-KR"/>
              </w:rPr>
              <w:instrText xml:space="preserve"> QUOTE </w:instrText>
            </w:r>
            <w:r w:rsidR="005E415E">
              <w:rPr>
                <w:rFonts w:ascii="Times New Roman" w:hAnsi="Times New Roman"/>
                <w:noProof/>
                <w:position w:val="-6"/>
                <w:sz w:val="20"/>
                <w:szCs w:val="20"/>
              </w:rPr>
              <w:pict w14:anchorId="5C6E7F11">
                <v:shape id="_x0000_i1043"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22EB&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7822EB&quot; wsp:rsidP=&quot;007822EB&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val="en-AU" w:eastAsia="ko-KR"/>
              </w:rPr>
              <w:instrText xml:space="preserve"> </w:instrText>
            </w:r>
            <w:r w:rsidRPr="006E4E14">
              <w:rPr>
                <w:rFonts w:ascii="Times New Roman" w:hAnsi="Times New Roman"/>
                <w:color w:val="000000"/>
                <w:sz w:val="20"/>
                <w:szCs w:val="20"/>
                <w:lang w:val="en-AU" w:eastAsia="ko-KR"/>
              </w:rPr>
              <w:fldChar w:fldCharType="separate"/>
            </w:r>
            <w:r w:rsidR="005E415E">
              <w:rPr>
                <w:rFonts w:ascii="Times New Roman" w:hAnsi="Times New Roman"/>
                <w:noProof/>
                <w:position w:val="-6"/>
                <w:sz w:val="20"/>
                <w:szCs w:val="20"/>
              </w:rPr>
              <w:pict w14:anchorId="4C5D6EEC">
                <v:shape id="_x0000_i1042"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22EB&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7822EB&quot; wsp:rsidP=&quot;007822EB&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val="en-AU" w:eastAsia="ko-KR"/>
              </w:rPr>
              <w:fldChar w:fldCharType="end"/>
            </w:r>
            <w:r w:rsidRPr="006E4E14">
              <w:rPr>
                <w:rFonts w:ascii="Times New Roman" w:hAnsi="Times New Roman"/>
                <w:color w:val="000000"/>
                <w:sz w:val="20"/>
                <w:szCs w:val="20"/>
                <w:lang w:val="en-AU" w:eastAsia="ko-KR"/>
              </w:rPr>
              <w:t>,</w:t>
            </w:r>
            <w:r w:rsidRPr="006E4E14">
              <w:rPr>
                <w:rFonts w:ascii="Times New Roman" w:hAnsi="Times New Roman"/>
                <w:i/>
                <w:color w:val="000000"/>
                <w:sz w:val="20"/>
                <w:szCs w:val="20"/>
                <w:lang w:val="en-AU" w:eastAsia="ko-KR"/>
              </w:rPr>
              <w:t xml:space="preserve"> </w:t>
            </w:r>
            <w:r w:rsidRPr="006E4E14">
              <w:rPr>
                <w:rFonts w:ascii="Times New Roman" w:hAnsi="Times New Roman"/>
                <w:color w:val="000000"/>
                <w:sz w:val="20"/>
                <w:szCs w:val="20"/>
                <w:lang w:eastAsia="ko-KR"/>
              </w:rPr>
              <w:t xml:space="preserve">use the latest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0"/>
                  <w:szCs w:val="20"/>
                  <w:lang w:eastAsia="ko-KR"/>
                </w:rPr>
                <m:t>p</m:t>
              </m:r>
            </m:oMath>
            <w:r w:rsidRPr="006E4E14">
              <w:rPr>
                <w:rFonts w:ascii="Times New Roman" w:hAnsi="Times New Roman"/>
                <w:color w:val="000000"/>
                <w:sz w:val="20"/>
                <w:szCs w:val="20"/>
                <w:lang w:eastAsia="ko-KR"/>
              </w:rPr>
              <w:t>.</w:t>
            </w:r>
          </w:p>
          <w:p w14:paraId="589D7893"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Option 2: </w:t>
            </w:r>
          </w:p>
          <w:p w14:paraId="2C278994"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val="en-AU" w:eastAsia="ko-KR"/>
              </w:rPr>
              <w:t xml:space="preserve">If </w:t>
            </w:r>
            <w:r w:rsidRPr="006E4E14">
              <w:rPr>
                <w:rFonts w:ascii="Times New Roman" w:hAnsi="Times New Roman"/>
                <w:color w:val="000000"/>
                <w:sz w:val="20"/>
                <w:szCs w:val="20"/>
              </w:rPr>
              <w:t>‘</w:t>
            </w:r>
            <w:r w:rsidRPr="006E4E14">
              <w:rPr>
                <w:rFonts w:ascii="Times New Roman" w:hAnsi="Times New Roman"/>
                <w:color w:val="000000"/>
                <w:sz w:val="20"/>
                <w:szCs w:val="20"/>
                <w:lang w:val="en-AU" w:eastAsia="ko-KR"/>
              </w:rPr>
              <w:t>NACK</w:t>
            </w:r>
            <w:r w:rsidRPr="006E4E14">
              <w:rPr>
                <w:rFonts w:ascii="Times New Roman" w:hAnsi="Times New Roman"/>
                <w:color w:val="000000"/>
                <w:sz w:val="20"/>
                <w:szCs w:val="20"/>
              </w:rPr>
              <w:t xml:space="preserve">’ </w:t>
            </w:r>
            <w:r w:rsidRPr="006E4E14">
              <w:rPr>
                <w:rFonts w:ascii="Times New Roman" w:hAnsi="Times New Roman"/>
                <w:color w:val="000000"/>
                <w:sz w:val="20"/>
                <w:szCs w:val="20"/>
                <w:lang w:val="en-AU" w:eastAsia="ko-KR"/>
              </w:rPr>
              <w:t xml:space="preserve">or a collision indicator (IUC scheme 2) 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val="en-AU" w:eastAsia="ko-KR"/>
              </w:rPr>
              <w:t xml:space="preserve">, </w:t>
            </w:r>
            <w:r w:rsidRPr="006E4E14">
              <w:rPr>
                <w:rFonts w:ascii="Times New Roman" w:hAnsi="Times New Roman"/>
                <w:color w:val="000000"/>
                <w:sz w:val="20"/>
                <w:szCs w:val="20"/>
                <w:lang w:eastAsia="ko-KR"/>
              </w:rPr>
              <w:t xml:space="preserve">increase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for every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6"/>
                <w:sz w:val="20"/>
                <w:szCs w:val="20"/>
              </w:rPr>
              <w:pict w14:anchorId="3E10AE6C">
                <v:shape id="_x0000_i1041"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0338&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350338&quot; wsp:rsidP=&quot;00350338&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6"/>
                <w:sz w:val="20"/>
                <w:szCs w:val="20"/>
              </w:rPr>
              <w:pict w14:anchorId="365AD336">
                <v:shape id="_x0000_i1040"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0338&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350338&quot; wsp:rsidP=&quot;00350338&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to the next higher allowed value.</w:t>
            </w:r>
          </w:p>
          <w:p w14:paraId="03D5B502" w14:textId="77777777" w:rsidR="0043094C" w:rsidRPr="006E4E14" w:rsidRDefault="0043094C" w:rsidP="0043094C">
            <w:pPr>
              <w:pStyle w:val="ListParagraph"/>
              <w:numPr>
                <w:ilvl w:val="3"/>
                <w:numId w:val="27"/>
              </w:numPr>
              <w:autoSpaceDE w:val="0"/>
              <w:autoSpaceDN w:val="0"/>
              <w:spacing w:line="240" w:lineRule="auto"/>
              <w:ind w:left="288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When neither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NACK</w:t>
            </w:r>
            <w:r w:rsidRPr="006E4E14">
              <w:rPr>
                <w:rFonts w:ascii="Times New Roman" w:hAnsi="Times New Roman"/>
                <w:color w:val="000000"/>
                <w:sz w:val="20"/>
                <w:szCs w:val="20"/>
              </w:rPr>
              <w:t xml:space="preserve">’ </w:t>
            </w:r>
            <w:r w:rsidRPr="006E4E14">
              <w:rPr>
                <w:rFonts w:ascii="Times New Roman" w:hAnsi="Times New Roman"/>
                <w:color w:val="000000"/>
                <w:sz w:val="20"/>
                <w:szCs w:val="20"/>
                <w:lang w:eastAsia="ko-KR"/>
              </w:rPr>
              <w:t>n</w:t>
            </w:r>
            <w:r w:rsidRPr="006E4E14">
              <w:rPr>
                <w:rFonts w:ascii="Times New Roman" w:hAnsi="Times New Roman"/>
                <w:color w:val="000000"/>
                <w:sz w:val="20"/>
                <w:szCs w:val="20"/>
                <w:lang w:val="en-AU" w:eastAsia="ko-KR"/>
              </w:rPr>
              <w:t xml:space="preserve">or a collision indicator (IUC scheme 2) </w:t>
            </w:r>
            <w:r w:rsidRPr="006E4E14">
              <w:rPr>
                <w:rFonts w:ascii="Times New Roman" w:hAnsi="Times New Roman"/>
                <w:color w:val="000000"/>
                <w:sz w:val="20"/>
                <w:szCs w:val="20"/>
                <w:lang w:eastAsia="ko-KR"/>
              </w:rPr>
              <w:t xml:space="preserve">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w:t>
            </w:r>
          </w:p>
          <w:p w14:paraId="388DB0B8" w14:textId="77777777" w:rsidR="0043094C" w:rsidRPr="006E4E14" w:rsidRDefault="0043094C" w:rsidP="0043094C">
            <w:pPr>
              <w:pStyle w:val="ListParagraph"/>
              <w:numPr>
                <w:ilvl w:val="4"/>
                <w:numId w:val="27"/>
              </w:numPr>
              <w:autoSpaceDE w:val="0"/>
              <w:autoSpaceDN w:val="0"/>
              <w:spacing w:line="240" w:lineRule="auto"/>
              <w:ind w:left="360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A: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is reset to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i/>
                          <w:iCs/>
                          <w:color w:val="000000"/>
                          <w:sz w:val="20"/>
                          <w:szCs w:val="20"/>
                        </w:rPr>
                      </m:ctrlPr>
                    </m:funcPr>
                    <m:fName>
                      <m:r>
                        <w:rPr>
                          <w:rFonts w:ascii="Cambria Math" w:hAnsi="Cambria Math"/>
                          <w:color w:val="000000"/>
                          <w:sz w:val="20"/>
                          <w:szCs w:val="20"/>
                          <w:lang w:eastAsia="ko-KR"/>
                        </w:rPr>
                        <m:t>min,</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for every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6"/>
                <w:sz w:val="20"/>
                <w:szCs w:val="20"/>
              </w:rPr>
              <w:pict w14:anchorId="650CD8E7">
                <v:shape id="_x0000_i1039"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786&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9C2786&quot; wsp:rsidP=&quot;009C2786&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6"/>
                <w:sz w:val="20"/>
                <w:szCs w:val="20"/>
              </w:rPr>
              <w:pict w14:anchorId="3AC2E9AF">
                <v:shape id="_x0000_i1038"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786&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9C2786&quot; wsp:rsidP=&quot;009C2786&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w:t>
            </w:r>
          </w:p>
          <w:p w14:paraId="2EC15604" w14:textId="77777777" w:rsidR="0043094C" w:rsidRPr="006E4E14" w:rsidRDefault="0043094C" w:rsidP="0043094C">
            <w:pPr>
              <w:pStyle w:val="ListParagraph"/>
              <w:numPr>
                <w:ilvl w:val="4"/>
                <w:numId w:val="27"/>
              </w:numPr>
              <w:autoSpaceDE w:val="0"/>
              <w:autoSpaceDN w:val="0"/>
              <w:spacing w:line="240" w:lineRule="auto"/>
              <w:ind w:left="360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B: </w:t>
            </w:r>
            <w:r w:rsidRPr="006E4E14">
              <w:rPr>
                <w:rFonts w:ascii="Times New Roman" w:hAnsi="Times New Roman"/>
                <w:color w:val="000000"/>
                <w:sz w:val="20"/>
                <w:szCs w:val="20"/>
                <w:lang w:val="en-AU" w:eastAsia="ko-KR"/>
              </w:rPr>
              <w:t xml:space="preserve">For every priority class </w:t>
            </w:r>
            <w:r w:rsidRPr="006E4E14">
              <w:rPr>
                <w:rFonts w:ascii="Times New Roman" w:hAnsi="Times New Roman"/>
                <w:color w:val="000000"/>
                <w:sz w:val="20"/>
                <w:szCs w:val="20"/>
                <w:lang w:val="en-AU" w:eastAsia="ko-KR"/>
              </w:rPr>
              <w:fldChar w:fldCharType="begin"/>
            </w:r>
            <w:r w:rsidRPr="006E4E14">
              <w:rPr>
                <w:rFonts w:ascii="Times New Roman" w:hAnsi="Times New Roman"/>
                <w:color w:val="000000"/>
                <w:sz w:val="20"/>
                <w:szCs w:val="20"/>
                <w:lang w:val="en-AU" w:eastAsia="ko-KR"/>
              </w:rPr>
              <w:instrText xml:space="preserve"> QUOTE </w:instrText>
            </w:r>
            <w:r w:rsidR="005E415E">
              <w:rPr>
                <w:rFonts w:ascii="Times New Roman" w:hAnsi="Times New Roman"/>
                <w:noProof/>
                <w:position w:val="-6"/>
                <w:sz w:val="20"/>
                <w:szCs w:val="20"/>
              </w:rPr>
              <w:pict w14:anchorId="512CDCBB">
                <v:shape id="_x0000_i1037"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87368&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87368&quot; wsp:rsidP=&quot;00F87368&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val="en-AU" w:eastAsia="ko-KR"/>
              </w:rPr>
              <w:instrText xml:space="preserve"> </w:instrText>
            </w:r>
            <w:r w:rsidRPr="006E4E14">
              <w:rPr>
                <w:rFonts w:ascii="Times New Roman" w:hAnsi="Times New Roman"/>
                <w:color w:val="000000"/>
                <w:sz w:val="20"/>
                <w:szCs w:val="20"/>
                <w:lang w:val="en-AU" w:eastAsia="ko-KR"/>
              </w:rPr>
              <w:fldChar w:fldCharType="separate"/>
            </w:r>
            <w:r w:rsidR="005E415E">
              <w:rPr>
                <w:rFonts w:ascii="Times New Roman" w:hAnsi="Times New Roman"/>
                <w:noProof/>
                <w:position w:val="-6"/>
                <w:sz w:val="20"/>
                <w:szCs w:val="20"/>
              </w:rPr>
              <w:pict w14:anchorId="0CC65298">
                <v:shape id="_x0000_i1036"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87368&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87368&quot; wsp:rsidP=&quot;00F87368&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val="en-AU" w:eastAsia="ko-KR"/>
              </w:rPr>
              <w:fldChar w:fldCharType="end"/>
            </w:r>
            <w:r w:rsidRPr="006E4E14">
              <w:rPr>
                <w:rFonts w:ascii="Times New Roman" w:hAnsi="Times New Roman"/>
                <w:color w:val="000000"/>
                <w:sz w:val="20"/>
                <w:szCs w:val="20"/>
                <w:lang w:val="en-AU" w:eastAsia="ko-KR"/>
              </w:rPr>
              <w:t>,</w:t>
            </w:r>
            <w:r w:rsidRPr="006E4E14">
              <w:rPr>
                <w:rFonts w:ascii="Times New Roman" w:hAnsi="Times New Roman"/>
                <w:i/>
                <w:color w:val="000000"/>
                <w:sz w:val="20"/>
                <w:szCs w:val="20"/>
                <w:lang w:val="en-AU" w:eastAsia="ko-KR"/>
              </w:rPr>
              <w:t xml:space="preserve"> </w:t>
            </w:r>
            <w:r w:rsidRPr="006E4E14">
              <w:rPr>
                <w:rFonts w:ascii="Times New Roman" w:hAnsi="Times New Roman"/>
                <w:color w:val="000000"/>
                <w:sz w:val="20"/>
                <w:szCs w:val="20"/>
                <w:lang w:eastAsia="ko-KR"/>
              </w:rPr>
              <w:t xml:space="preserve">use the latest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oMath>
            <w:r w:rsidRPr="006E4E14">
              <w:rPr>
                <w:rFonts w:ascii="Times New Roman" w:hAnsi="Times New Roman"/>
                <w:color w:val="000000"/>
                <w:sz w:val="20"/>
                <w:szCs w:val="20"/>
                <w:lang w:eastAsia="ko-KR"/>
              </w:rPr>
              <w:t xml:space="preserve"> used for any SL transmissions on the channel using Type 1 channel access procedures associated with the channel access priority class </w:t>
            </w:r>
            <m:oMath>
              <m:r>
                <w:rPr>
                  <w:rFonts w:ascii="Cambria Math" w:hAnsi="Cambria Math"/>
                  <w:color w:val="000000"/>
                  <w:sz w:val="20"/>
                  <w:szCs w:val="20"/>
                  <w:lang w:eastAsia="ko-KR"/>
                </w:rPr>
                <m:t>p</m:t>
              </m:r>
            </m:oMath>
            <w:r w:rsidRPr="006E4E14">
              <w:rPr>
                <w:rFonts w:ascii="Times New Roman" w:hAnsi="Times New Roman"/>
                <w:color w:val="000000"/>
                <w:sz w:val="20"/>
                <w:szCs w:val="20"/>
                <w:lang w:eastAsia="ko-KR"/>
              </w:rPr>
              <w:t>.</w:t>
            </w:r>
          </w:p>
          <w:p w14:paraId="4A0DA2C1"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3: An ACK-only procedure is used instead of a NACK-only procedure. In this case, if at least a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 xml:space="preserve"> 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 xml:space="preserve">SL reference </w:t>
            </w:r>
            <w:r w:rsidRPr="006E4E14">
              <w:rPr>
                <w:rFonts w:ascii="Times New Roman" w:hAnsi="Times New Roman"/>
                <w:color w:val="000000"/>
                <w:sz w:val="20"/>
                <w:szCs w:val="20"/>
              </w:rPr>
              <w:lastRenderedPageBreak/>
              <w:t>duration</w:t>
            </w:r>
            <w:r w:rsidRPr="006E4E14">
              <w:rPr>
                <w:rFonts w:ascii="Times New Roman" w:hAnsi="Times New Roman"/>
                <w:color w:val="000000"/>
                <w:sz w:val="20"/>
                <w:szCs w:val="20"/>
                <w:lang w:eastAsia="ko-KR"/>
              </w:rPr>
              <w:t xml:space="preserve">, for each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6"/>
                <w:sz w:val="20"/>
                <w:szCs w:val="20"/>
              </w:rPr>
              <w:pict w14:anchorId="2DD86B0B">
                <v:shape id="_x0000_i1035"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35DC7&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35DC7&quot; wsp:rsidP=&quot;00F35DC7&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6"/>
                <w:sz w:val="20"/>
                <w:szCs w:val="20"/>
              </w:rPr>
              <w:pict w14:anchorId="7A5F1BA4">
                <v:shape id="_x0000_i1034"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35DC7&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F35DC7&quot; wsp:rsidP=&quot;00F35DC7&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w:t>
            </w:r>
            <m:oMath>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r>
                <m:rPr>
                  <m:sty m:val="p"/>
                </m:rPr>
                <w:rPr>
                  <w:rFonts w:ascii="Cambria Math" w:hAnsi="Cambria Math"/>
                  <w:color w:val="000000"/>
                  <w:sz w:val="20"/>
                  <w:szCs w:val="20"/>
                  <w:lang w:eastAsia="ko-KR"/>
                </w:rPr>
                <m:t>=</m:t>
              </m:r>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color w:val="000000"/>
                          <w:sz w:val="20"/>
                          <w:szCs w:val="20"/>
                        </w:rPr>
                      </m:ctrlPr>
                    </m:funcPr>
                    <m:fName>
                      <m:r>
                        <w:rPr>
                          <w:rFonts w:ascii="Cambria Math" w:hAnsi="Cambria Math"/>
                          <w:color w:val="000000"/>
                          <w:sz w:val="20"/>
                          <w:szCs w:val="20"/>
                          <w:lang w:eastAsia="ko-KR"/>
                        </w:rPr>
                        <m:t>min</m:t>
                      </m:r>
                      <m:r>
                        <m:rPr>
                          <m:sty m:val="p"/>
                        </m:rPr>
                        <w:rPr>
                          <w:rFonts w:ascii="Cambria Math" w:hAnsi="Cambria Math"/>
                          <w:color w:val="000000"/>
                          <w:sz w:val="20"/>
                          <w:szCs w:val="20"/>
                          <w:lang w:eastAsia="ko-KR"/>
                        </w:rPr>
                        <m:t>,</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otherwise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9"/>
                <w:sz w:val="20"/>
                <w:szCs w:val="20"/>
              </w:rPr>
              <w:pict w14:anchorId="107BFAE9">
                <v:shape id="_x0000_i1033" type="#_x0000_t75" alt="" style="width:21.4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2059C&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A2059C&quot; wsp:rsidP=&quot;00A2059C&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Â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9"/>
                <w:sz w:val="20"/>
                <w:szCs w:val="20"/>
              </w:rPr>
              <w:pict w14:anchorId="333E5E51">
                <v:shape id="_x0000_i1032" type="#_x0000_t75" alt="" style="width:21.4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2059C&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A2059C&quot; wsp:rsidP=&quot;00A2059C&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Â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is increased</w:t>
            </w:r>
          </w:p>
          <w:p w14:paraId="0829B503"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Option 4: CW is adjusted according to CR/CBR measurement</w:t>
            </w:r>
            <w:r w:rsidRPr="006E4E14">
              <w:rPr>
                <w:rFonts w:ascii="Times New Roman" w:hAnsi="Times New Roman"/>
                <w:color w:val="000000"/>
                <w:sz w:val="20"/>
                <w:szCs w:val="20"/>
              </w:rPr>
              <w:t>, if CR/CBR is supported for SL-U</w:t>
            </w:r>
          </w:p>
          <w:p w14:paraId="4311E0F9"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5 (option 3+legacy): ACK feedback is performed when a TB is successfully decoded in addition to the legacy NACK-only procedure. In this case, if ACK only 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 xml:space="preserve"> then </w:t>
            </w:r>
            <m:oMath>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r>
                <m:rPr>
                  <m:sty m:val="p"/>
                </m:rPr>
                <w:rPr>
                  <w:rFonts w:ascii="Cambria Math" w:hAnsi="Cambria Math"/>
                  <w:color w:val="000000"/>
                  <w:sz w:val="20"/>
                  <w:szCs w:val="20"/>
                  <w:lang w:eastAsia="ko-KR"/>
                </w:rPr>
                <m:t>=</m:t>
              </m:r>
              <m:r>
                <w:rPr>
                  <w:rFonts w:ascii="Cambria Math" w:hAnsi="Cambria Math"/>
                  <w:color w:val="000000"/>
                  <w:sz w:val="20"/>
                  <w:szCs w:val="20"/>
                  <w:lang w:eastAsia="ko-KR"/>
                </w:rPr>
                <m:t>C</m:t>
              </m:r>
              <m:sSub>
                <m:sSubPr>
                  <m:ctrlPr>
                    <w:rPr>
                      <w:rFonts w:ascii="Cambria Math" w:eastAsia="MS PGothic" w:hAnsi="Cambria Math" w:cs="Calibri"/>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color w:val="000000"/>
                          <w:sz w:val="20"/>
                          <w:szCs w:val="20"/>
                        </w:rPr>
                      </m:ctrlPr>
                    </m:funcPr>
                    <m:fName>
                      <m:r>
                        <w:rPr>
                          <w:rFonts w:ascii="Cambria Math" w:hAnsi="Cambria Math"/>
                          <w:color w:val="000000"/>
                          <w:sz w:val="20"/>
                          <w:szCs w:val="20"/>
                          <w:lang w:eastAsia="ko-KR"/>
                        </w:rPr>
                        <m:t>min</m:t>
                      </m:r>
                      <m:r>
                        <m:rPr>
                          <m:sty m:val="p"/>
                        </m:rPr>
                        <w:rPr>
                          <w:rFonts w:ascii="Cambria Math" w:hAnsi="Cambria Math"/>
                          <w:color w:val="000000"/>
                          <w:sz w:val="20"/>
                          <w:szCs w:val="20"/>
                          <w:lang w:eastAsia="ko-KR"/>
                        </w:rPr>
                        <m:t>,</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otherwise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9"/>
                <w:sz w:val="20"/>
                <w:szCs w:val="20"/>
              </w:rPr>
              <w:pict w14:anchorId="032CD62F">
                <v:shape id="_x0000_i1031" type="#_x0000_t75" alt="" style="width:21.4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166C&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9F166C&quot; wsp:rsidP=&quot;009F166C&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Â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9"/>
                <w:sz w:val="20"/>
                <w:szCs w:val="20"/>
              </w:rPr>
              <w:pict w14:anchorId="1FD71C43">
                <v:shape id="_x0000_i1030" type="#_x0000_t75" alt="" style="width:21.4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166C&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9F166C&quot; wsp:rsidP=&quot;009F166C&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m:rPr&gt;&lt;m:sty m:val=&quot;p&quot;/&gt;&lt;/m:rPr&gt;&lt;w:rPr&gt;&lt;w:rFonts w:ascii=&quot;Cambria Math&quot; w:h-ansi=&quot;Cambria Math&quot;/&gt;&lt;wx:font wx:val=&quot;Cambria Math&quot;/&gt;&lt;w:color w:val=&quot;000000&quot;/&gt;&lt;w:sz w:val=&quot;22&quot;/&gt;&lt;w:sz-cs w:val=&quot;22&quot;/&gt;&lt;w:lang w:fareast=&quot;KO&quot;/&gt;&lt;/w:rPr&gt;&lt;m:t&gt;Â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is increased.</w:t>
            </w:r>
          </w:p>
          <w:p w14:paraId="1FF082BB" w14:textId="77777777" w:rsidR="0043094C" w:rsidRPr="006E4E14" w:rsidRDefault="0043094C" w:rsidP="0043094C">
            <w:pPr>
              <w:pStyle w:val="ListParagraph"/>
              <w:numPr>
                <w:ilvl w:val="1"/>
                <w:numId w:val="27"/>
              </w:numPr>
              <w:autoSpaceDE w:val="0"/>
              <w:autoSpaceDN w:val="0"/>
              <w:spacing w:line="240" w:lineRule="auto"/>
              <w:ind w:left="144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CW adjustment for unicast with SL-HARQ feedback enabled (</w:t>
            </w:r>
            <w:r w:rsidRPr="006E4E14">
              <w:rPr>
                <w:rFonts w:ascii="Times New Roman" w:hAnsi="Times New Roman"/>
                <w:color w:val="000000"/>
                <w:sz w:val="20"/>
                <w:szCs w:val="20"/>
              </w:rPr>
              <w:t xml:space="preserve">at least In case only unicast PSSCH(s) is (are) transmitted within the </w:t>
            </w:r>
            <w:r w:rsidRPr="006E4E14">
              <w:rPr>
                <w:rFonts w:ascii="Times New Roman" w:hAnsi="Times New Roman"/>
                <w:color w:val="000000"/>
                <w:sz w:val="20"/>
                <w:szCs w:val="20"/>
                <w:lang w:eastAsia="ko-KR"/>
              </w:rPr>
              <w:t xml:space="preserve">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w:t>
            </w:r>
          </w:p>
          <w:p w14:paraId="68D40457" w14:textId="77777777" w:rsidR="0043094C" w:rsidRPr="006E4E14" w:rsidRDefault="0043094C" w:rsidP="0043094C">
            <w:pPr>
              <w:pStyle w:val="ListParagraph"/>
              <w:numPr>
                <w:ilvl w:val="2"/>
                <w:numId w:val="27"/>
              </w:numPr>
              <w:autoSpaceDE w:val="0"/>
              <w:autoSpaceDN w:val="0"/>
              <w:spacing w:line="240" w:lineRule="auto"/>
              <w:ind w:left="2160"/>
              <w:jc w:val="both"/>
              <w:rPr>
                <w:rFonts w:ascii="Times New Roman" w:hAnsi="Times New Roman"/>
                <w:color w:val="000000"/>
                <w:sz w:val="20"/>
                <w:szCs w:val="20"/>
                <w:lang w:eastAsia="ko-KR"/>
              </w:rPr>
            </w:pPr>
            <w:r w:rsidRPr="006E4E14">
              <w:rPr>
                <w:rFonts w:ascii="Times New Roman" w:hAnsi="Times New Roman"/>
                <w:color w:val="000000"/>
                <w:sz w:val="20"/>
                <w:szCs w:val="20"/>
                <w:lang w:eastAsia="ko-KR"/>
              </w:rPr>
              <w:t xml:space="preserve">Option 2: If at least one </w:t>
            </w:r>
            <w:r w:rsidRPr="006E4E14">
              <w:rPr>
                <w:rFonts w:ascii="Times New Roman" w:hAnsi="Times New Roman"/>
                <w:color w:val="000000"/>
                <w:sz w:val="20"/>
                <w:szCs w:val="20"/>
              </w:rPr>
              <w:t>‘</w:t>
            </w:r>
            <w:r w:rsidRPr="006E4E14">
              <w:rPr>
                <w:rFonts w:ascii="Times New Roman" w:hAnsi="Times New Roman"/>
                <w:color w:val="000000"/>
                <w:sz w:val="20"/>
                <w:szCs w:val="20"/>
                <w:lang w:eastAsia="ko-KR"/>
              </w:rPr>
              <w:t>ACK</w:t>
            </w:r>
            <w:r w:rsidRPr="006E4E14">
              <w:rPr>
                <w:rFonts w:ascii="Times New Roman" w:hAnsi="Times New Roman"/>
                <w:color w:val="000000"/>
                <w:sz w:val="20"/>
                <w:szCs w:val="20"/>
              </w:rPr>
              <w:t xml:space="preserve">’ </w:t>
            </w:r>
            <w:r w:rsidRPr="006E4E14">
              <w:rPr>
                <w:rFonts w:ascii="Times New Roman" w:hAnsi="Times New Roman"/>
                <w:color w:val="000000"/>
                <w:sz w:val="20"/>
                <w:szCs w:val="20"/>
                <w:lang w:eastAsia="ko-KR"/>
              </w:rPr>
              <w:t xml:space="preserve">is received </w:t>
            </w:r>
            <w:r w:rsidRPr="006E4E14">
              <w:rPr>
                <w:rFonts w:ascii="Times New Roman" w:hAnsi="Times New Roman"/>
                <w:color w:val="000000"/>
                <w:sz w:val="20"/>
                <w:szCs w:val="20"/>
                <w:lang w:val="en-AU"/>
              </w:rPr>
              <w:t xml:space="preserve">related to any transmissions within the latest </w:t>
            </w:r>
            <w:r w:rsidRPr="006E4E14">
              <w:rPr>
                <w:rFonts w:ascii="Times New Roman" w:hAnsi="Times New Roman"/>
                <w:color w:val="000000"/>
                <w:sz w:val="20"/>
                <w:szCs w:val="20"/>
              </w:rPr>
              <w:t>SL reference duration</w:t>
            </w:r>
            <w:r w:rsidRPr="006E4E14">
              <w:rPr>
                <w:rFonts w:ascii="Times New Roman" w:hAnsi="Times New Roman"/>
                <w:color w:val="000000"/>
                <w:sz w:val="20"/>
                <w:szCs w:val="20"/>
                <w:lang w:eastAsia="ko-KR"/>
              </w:rPr>
              <w:t xml:space="preserve">, for each priority class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6"/>
                <w:sz w:val="20"/>
                <w:szCs w:val="20"/>
              </w:rPr>
              <w:pict w14:anchorId="29F9E91A">
                <v:shape id="_x0000_i1029"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42FD&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042FD&quot; wsp:rsidP=&quot;002042FD&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6"/>
                <w:sz w:val="20"/>
                <w:szCs w:val="20"/>
              </w:rPr>
              <w:pict w14:anchorId="1813FA8A">
                <v:shape id="_x0000_i1028" type="#_x0000_t75" alt="" style="width:57.75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42FD&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2042FD&quot; wsp:rsidP=&quot;002042FD&quot;&gt;&lt;m:oMathPara&gt;&lt;m:oMath&gt;&lt;m:r&gt;&lt;w:rPr&gt;&lt;w:rFonts w:ascii=&quot;Cambria Math&quot; w:h-ansi=&quot;Cambria Math&quot;/&gt;&lt;wx:font wx:val=&quot;Cambria Math&quot;/&gt;&lt;w:i/&gt;&lt;w:color w:val=&quot;000000&quot;/&gt;&lt;w:sz w:val=&quot;22&quot;/&gt;&lt;w:sz-cs w:val=&quot;22&quot;/&gt;&lt;w:lang w:fareast=&quot;KO&quot;/&gt;&lt;/w:rPr&gt;&lt;m:t&gt;p&lt;/m:t&gt;&lt;/m:r&gt;&lt;m:r&gt;&lt;w:rPr&gt;&lt;w:rFonts w:ascii=&quot;Cambria Math&quot; w:h-ansi=&quot;Cambria Math&quot; w:hint=&quot;fareast&quot;/&gt;&lt;wx:font wx:val=&quot;Batang&quot;/&gt;&lt;w:i/&gt;&lt;w:color w:val=&quot;000000&quot;/&gt;&lt;w:sz w:val=&quot;22&quot;/&gt;&lt;w:sz-cs w:val=&quot;22&quot;/&gt;&lt;/w:rPr&gt;&lt;m:t&gt;âˆˆ&lt;/m:t&gt;&lt;/m:r&gt;&lt;m:d&gt;&lt;m:dPr&gt;&lt;m:begChr m:val=&quot;{&quot;/&gt;&lt;m:endChr m:val=&quot;}&quot;/&gt;&lt;m:ctrlPr&gt;&lt;w:rPr&gt;&lt;w:rFonts w:ascii=&quot;Cambria Math&quot; w:fareast=&quot;MS PGothic&quot; w:h-ansi=&quot;Cambria Math&quot; w:cs=&quot;Calibri&quot;/&gt;&lt;wx:font wx:val=&quot;Cambria Math&quot;/&gt;&lt;w:i/&gt;&lt;w:i-cs/&gt;&lt;w:color w:val=&quot;000000&quot;/&gt;&lt;w:sz w:val=&quot;22&quot;/&gt;&lt;w:sz-cs w:val=&quot;22&quot;/&gt;&lt;/w:rPr&gt;&lt;/m:ctrlPr&gt;&lt;/m:dPr&gt;&lt;m:e&gt;&lt;m:r&gt;&lt;w:rPr&gt;&lt;w:rFonts w:ascii=&quot;Cambria Math&quot; w:h-ansi=&quot;Cambria Math&quot;/&gt;&lt;wx:font wx:val=&quot;Cambria Math&quot;/&gt;&lt;w:i/&gt;&lt;w:color w:val=&quot;000000&quot;/&gt;&lt;w:sz w:val=&quot;22&quot;/&gt;&lt;w:sz-cs w:val=&quot;22&quot;/&gt;&lt;w:lang w:fareast=&quot;KO&quot;/&gt;&lt;/w:rPr&gt;&lt;m:t&gt;1,2,3,4&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 xml:space="preserve"> </w:t>
            </w:r>
            <m:oMath>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r>
                    <w:rPr>
                      <w:rFonts w:ascii="Cambria Math" w:hAnsi="Cambria Math"/>
                      <w:color w:val="000000"/>
                      <w:sz w:val="20"/>
                      <w:szCs w:val="20"/>
                      <w:lang w:eastAsia="ko-KR"/>
                    </w:rPr>
                    <m:t>p</m:t>
                  </m:r>
                </m:sub>
              </m:sSub>
              <m:r>
                <m:rPr>
                  <m:sty m:val="p"/>
                </m:rPr>
                <w:rPr>
                  <w:rFonts w:ascii="Cambria Math" w:hAnsi="Cambria Math"/>
                  <w:color w:val="000000"/>
                  <w:sz w:val="20"/>
                  <w:szCs w:val="20"/>
                  <w:lang w:eastAsia="ko-KR"/>
                </w:rPr>
                <m:t>=</m:t>
              </m:r>
              <m:r>
                <w:rPr>
                  <w:rFonts w:ascii="Cambria Math" w:hAnsi="Cambria Math"/>
                  <w:color w:val="000000"/>
                  <w:sz w:val="20"/>
                  <w:szCs w:val="20"/>
                  <w:lang w:eastAsia="ko-KR"/>
                </w:rPr>
                <m:t>C</m:t>
              </m:r>
              <m:sSub>
                <m:sSubPr>
                  <m:ctrlPr>
                    <w:rPr>
                      <w:rFonts w:ascii="Cambria Math" w:eastAsia="MS PGothic" w:hAnsi="Cambria Math" w:cs="Calibri"/>
                      <w:i/>
                      <w:iCs/>
                      <w:color w:val="000000"/>
                      <w:sz w:val="20"/>
                      <w:szCs w:val="20"/>
                    </w:rPr>
                  </m:ctrlPr>
                </m:sSubPr>
                <m:e>
                  <m:r>
                    <w:rPr>
                      <w:rFonts w:ascii="Cambria Math" w:hAnsi="Cambria Math"/>
                      <w:color w:val="000000"/>
                      <w:sz w:val="20"/>
                      <w:szCs w:val="20"/>
                      <w:lang w:eastAsia="ko-KR"/>
                    </w:rPr>
                    <m:t>W</m:t>
                  </m:r>
                </m:e>
                <m:sub>
                  <m:func>
                    <m:funcPr>
                      <m:ctrlPr>
                        <w:rPr>
                          <w:rFonts w:ascii="Cambria Math" w:eastAsia="MS PGothic" w:hAnsi="Cambria Math" w:cs="Calibri"/>
                          <w:i/>
                          <w:iCs/>
                          <w:color w:val="000000"/>
                          <w:sz w:val="20"/>
                          <w:szCs w:val="20"/>
                        </w:rPr>
                      </m:ctrlPr>
                    </m:funcPr>
                    <m:fName>
                      <m:r>
                        <w:rPr>
                          <w:rFonts w:ascii="Cambria Math" w:hAnsi="Cambria Math"/>
                          <w:color w:val="000000"/>
                          <w:sz w:val="20"/>
                          <w:szCs w:val="20"/>
                          <w:lang w:eastAsia="ko-KR"/>
                        </w:rPr>
                        <m:t>min</m:t>
                      </m:r>
                      <m:r>
                        <m:rPr>
                          <m:sty m:val="p"/>
                        </m:rPr>
                        <w:rPr>
                          <w:rFonts w:ascii="Cambria Math" w:hAnsi="Cambria Math"/>
                          <w:color w:val="000000"/>
                          <w:sz w:val="20"/>
                          <w:szCs w:val="20"/>
                          <w:lang w:eastAsia="ko-KR"/>
                        </w:rPr>
                        <m:t>,</m:t>
                      </m:r>
                    </m:fName>
                    <m:e>
                      <m:r>
                        <w:rPr>
                          <w:rFonts w:ascii="Cambria Math" w:hAnsi="Cambria Math"/>
                          <w:color w:val="000000"/>
                          <w:sz w:val="20"/>
                          <w:szCs w:val="20"/>
                          <w:lang w:eastAsia="ko-KR"/>
                        </w:rPr>
                        <m:t>p</m:t>
                      </m:r>
                    </m:e>
                  </m:func>
                </m:sub>
              </m:sSub>
            </m:oMath>
            <w:r w:rsidRPr="006E4E14">
              <w:rPr>
                <w:rFonts w:ascii="Times New Roman" w:hAnsi="Times New Roman"/>
                <w:color w:val="000000"/>
                <w:sz w:val="20"/>
                <w:szCs w:val="20"/>
                <w:lang w:eastAsia="ko-KR"/>
              </w:rPr>
              <w:t xml:space="preserve"> ; otherwise </w:t>
            </w:r>
            <w:r w:rsidRPr="006E4E14">
              <w:rPr>
                <w:rFonts w:ascii="Times New Roman" w:hAnsi="Times New Roman"/>
                <w:color w:val="000000"/>
                <w:sz w:val="20"/>
                <w:szCs w:val="20"/>
                <w:lang w:eastAsia="ko-KR"/>
              </w:rPr>
              <w:fldChar w:fldCharType="begin"/>
            </w:r>
            <w:r w:rsidRPr="006E4E14">
              <w:rPr>
                <w:rFonts w:ascii="Times New Roman" w:hAnsi="Times New Roman"/>
                <w:color w:val="000000"/>
                <w:sz w:val="20"/>
                <w:szCs w:val="20"/>
                <w:lang w:eastAsia="ko-KR"/>
              </w:rPr>
              <w:instrText xml:space="preserve"> QUOTE </w:instrText>
            </w:r>
            <w:r w:rsidR="005E415E">
              <w:rPr>
                <w:rFonts w:ascii="Times New Roman" w:hAnsi="Times New Roman"/>
                <w:noProof/>
                <w:position w:val="-9"/>
                <w:sz w:val="20"/>
                <w:szCs w:val="20"/>
              </w:rPr>
              <w:pict w14:anchorId="4D6DB986">
                <v:shape id="_x0000_i1027" type="#_x0000_t75" alt="" style="width:21.4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0F1D&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D60F1D&quot; wsp:rsidP=&quot;00D60F1D&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i/&gt;&lt;w:i-cs/&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w:rPr&gt;&lt;w:rFonts w:ascii=&quot;Cambria Math&quot; w:h-ansi=&quot;Cambria Math&quot;/&gt;&lt;wx:font wx:val=&quot;Cambria Math&quot;/&gt;&lt;w:i/&gt;&lt;w:color w:val=&quot;000000&quot;/&gt;&lt;w:sz w:val=&quot;22&quot;/&gt;&lt;w:sz-cs w:val=&quot;22&quot;/&gt;&lt;w:lang w:fareast=&quot;KO&quot;/&gt;&lt;/w:rPr&gt;&lt;m:t&gt;Â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E4E14">
              <w:rPr>
                <w:rFonts w:ascii="Times New Roman" w:hAnsi="Times New Roman"/>
                <w:color w:val="000000"/>
                <w:sz w:val="20"/>
                <w:szCs w:val="20"/>
                <w:lang w:eastAsia="ko-KR"/>
              </w:rPr>
              <w:instrText xml:space="preserve"> </w:instrText>
            </w:r>
            <w:r w:rsidRPr="006E4E14">
              <w:rPr>
                <w:rFonts w:ascii="Times New Roman" w:hAnsi="Times New Roman"/>
                <w:color w:val="000000"/>
                <w:sz w:val="20"/>
                <w:szCs w:val="20"/>
                <w:lang w:eastAsia="ko-KR"/>
              </w:rPr>
              <w:fldChar w:fldCharType="separate"/>
            </w:r>
            <w:r w:rsidR="005E415E">
              <w:rPr>
                <w:rFonts w:ascii="Times New Roman" w:hAnsi="Times New Roman"/>
                <w:noProof/>
                <w:position w:val="-9"/>
                <w:sz w:val="20"/>
                <w:szCs w:val="20"/>
              </w:rPr>
              <w:pict w14:anchorId="0091591D">
                <v:shape id="_x0000_i1026" type="#_x0000_t75" alt="" style="width:21.4pt;height:14.9pt;mso-width-percent:0;mso-height-percent:0;mso-width-percent:0;mso-height-percent:0" equationxml="&lt;?xml version=&quot;1.0&quot; encoding=&quot;UTF-8&quot; standalone=&quot;yes&quot;?&gt;&#13;&#13;&#10;&#13;&#13;&#10;&#13;&#13;&#10;&#13;&#13;&#10;&lt;?mso-application progid=&quot;Word.Document&quot;?&gt;&#13;&#13;&#10;&#13;&#13;&#10;&#13;&#13;&#10;&#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6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5266&quot;/&gt;&lt;wsp:rsid wsp:val=&quot;00006E91&quot;/&gt;&lt;wsp:rsid wsp:val=&quot;0001459F&quot;/&gt;&lt;wsp:rsid wsp:val=&quot;00015382&quot;/&gt;&lt;wsp:rsid wsp:val=&quot;000154E8&quot;/&gt;&lt;wsp:rsid wsp:val=&quot;00017452&quot;/&gt;&lt;wsp:rsid wsp:val=&quot;00017CEC&quot;/&gt;&lt;wsp:rsid wsp:val=&quot;000206F5&quot;/&gt;&lt;wsp:rsid wsp:val=&quot;00021963&quot;/&gt;&lt;wsp:rsid wsp:val=&quot;00021A46&quot;/&gt;&lt;wsp:rsid wsp:val=&quot;000262B0&quot;/&gt;&lt;wsp:rsid wsp:val=&quot;0002645A&quot;/&gt;&lt;wsp:rsid wsp:val=&quot;00027418&quot;/&gt;&lt;wsp:rsid wsp:val=&quot;00027A9D&quot;/&gt;&lt;wsp:rsid wsp:val=&quot;00035C3D&quot;/&gt;&lt;wsp:rsid wsp:val=&quot;00052672&quot;/&gt;&lt;wsp:rsid wsp:val=&quot;00053611&quot;/&gt;&lt;wsp:rsid wsp:val=&quot;00054572&quot;/&gt;&lt;wsp:rsid wsp:val=&quot;00054DD5&quot;/&gt;&lt;wsp:rsid wsp:val=&quot;00060542&quot;/&gt;&lt;wsp:rsid wsp:val=&quot;000605DA&quot;/&gt;&lt;wsp:rsid wsp:val=&quot;00060CEC&quot;/&gt;&lt;wsp:rsid wsp:val=&quot;00063377&quot;/&gt;&lt;wsp:rsid wsp:val=&quot;000655DF&quot;/&gt;&lt;wsp:rsid wsp:val=&quot;00066893&quot;/&gt;&lt;wsp:rsid wsp:val=&quot;00070E52&quot;/&gt;&lt;wsp:rsid wsp:val=&quot;00072206&quot;/&gt;&lt;wsp:rsid wsp:val=&quot;00073C45&quot;/&gt;&lt;wsp:rsid wsp:val=&quot;00074A3E&quot;/&gt;&lt;wsp:rsid wsp:val=&quot;00076C50&quot;/&gt;&lt;wsp:rsid wsp:val=&quot;000809D1&quot;/&gt;&lt;wsp:rsid wsp:val=&quot;00083D4D&quot;/&gt;&lt;wsp:rsid wsp:val=&quot;000845D8&quot;/&gt;&lt;wsp:rsid wsp:val=&quot;00084952&quot;/&gt;&lt;wsp:rsid wsp:val=&quot;00085529&quot;/&gt;&lt;wsp:rsid wsp:val=&quot;00085597&quot;/&gt;&lt;wsp:rsid wsp:val=&quot;000903AC&quot;/&gt;&lt;wsp:rsid wsp:val=&quot;00091BCB&quot;/&gt;&lt;wsp:rsid wsp:val=&quot;00093354&quot;/&gt;&lt;wsp:rsid wsp:val=&quot;000942B3&quot;/&gt;&lt;wsp:rsid wsp:val=&quot;000A0641&quot;/&gt;&lt;wsp:rsid wsp:val=&quot;000B11A6&quot;/&gt;&lt;wsp:rsid wsp:val=&quot;000B2B55&quot;/&gt;&lt;wsp:rsid wsp:val=&quot;000C256E&quot;/&gt;&lt;wsp:rsid wsp:val=&quot;000C748B&quot;/&gt;&lt;wsp:rsid wsp:val=&quot;000C74E2&quot;/&gt;&lt;wsp:rsid wsp:val=&quot;000C7BD8&quot;/&gt;&lt;wsp:rsid wsp:val=&quot;000D2402&quot;/&gt;&lt;wsp:rsid wsp:val=&quot;000D242E&quot;/&gt;&lt;wsp:rsid wsp:val=&quot;000D5D9E&quot;/&gt;&lt;wsp:rsid wsp:val=&quot;000E474A&quot;/&gt;&lt;wsp:rsid wsp:val=&quot;000E5BCB&quot;/&gt;&lt;wsp:rsid wsp:val=&quot;000E67A5&quot;/&gt;&lt;wsp:rsid wsp:val=&quot;000F59FD&quot;/&gt;&lt;wsp:rsid wsp:val=&quot;0010230E&quot;/&gt;&lt;wsp:rsid wsp:val=&quot;00103BEC&quot;/&gt;&lt;wsp:rsid wsp:val=&quot;0010523A&quot;/&gt;&lt;wsp:rsid wsp:val=&quot;00110359&quot;/&gt;&lt;wsp:rsid wsp:val=&quot;00111908&quot;/&gt;&lt;wsp:rsid wsp:val=&quot;00115CF2&quot;/&gt;&lt;wsp:rsid wsp:val=&quot;00131CB0&quot;/&gt;&lt;wsp:rsid wsp:val=&quot;00132CBE&quot;/&gt;&lt;wsp:rsid wsp:val=&quot;00144180&quot;/&gt;&lt;wsp:rsid wsp:val=&quot;001443B6&quot;/&gt;&lt;wsp:rsid wsp:val=&quot;001458AC&quot;/&gt;&lt;wsp:rsid wsp:val=&quot;0015211F&quot;/&gt;&lt;wsp:rsid wsp:val=&quot;00156174&quot;/&gt;&lt;wsp:rsid wsp:val=&quot;00166BB5&quot;/&gt;&lt;wsp:rsid wsp:val=&quot;00166FB4&quot;/&gt;&lt;wsp:rsid wsp:val=&quot;001671FB&quot;/&gt;&lt;wsp:rsid wsp:val=&quot;0017529F&quot;/&gt;&lt;wsp:rsid wsp:val=&quot;001777C6&quot;/&gt;&lt;wsp:rsid wsp:val=&quot;0018004F&quot;/&gt;&lt;wsp:rsid wsp:val=&quot;00181906&quot;/&gt;&lt;wsp:rsid wsp:val=&quot;00182437&quot;/&gt;&lt;wsp:rsid wsp:val=&quot;001828C7&quot;/&gt;&lt;wsp:rsid wsp:val=&quot;00184862&quot;/&gt;&lt;wsp:rsid wsp:val=&quot;00184C0F&quot;/&gt;&lt;wsp:rsid wsp:val=&quot;00186520&quot;/&gt;&lt;wsp:rsid wsp:val=&quot;001879BD&quot;/&gt;&lt;wsp:rsid wsp:val=&quot;001940DB&quot;/&gt;&lt;wsp:rsid wsp:val=&quot;0019426E&quot;/&gt;&lt;wsp:rsid wsp:val=&quot;001A12C5&quot;/&gt;&lt;wsp:rsid wsp:val=&quot;001A1FBC&quot;/&gt;&lt;wsp:rsid wsp:val=&quot;001A235A&quot;/&gt;&lt;wsp:rsid wsp:val=&quot;001A35F9&quot;/&gt;&lt;wsp:rsid wsp:val=&quot;001A68A2&quot;/&gt;&lt;wsp:rsid wsp:val=&quot;001B141B&quot;/&gt;&lt;wsp:rsid wsp:val=&quot;001C40D9&quot;/&gt;&lt;wsp:rsid wsp:val=&quot;001C5621&quot;/&gt;&lt;wsp:rsid wsp:val=&quot;001C5F9E&quot;/&gt;&lt;wsp:rsid wsp:val=&quot;001C74BE&quot;/&gt;&lt;wsp:rsid wsp:val=&quot;001D150F&quot;/&gt;&lt;wsp:rsid wsp:val=&quot;001D1F2F&quot;/&gt;&lt;wsp:rsid wsp:val=&quot;001D2AE5&quot;/&gt;&lt;wsp:rsid wsp:val=&quot;001D4711&quot;/&gt;&lt;wsp:rsid wsp:val=&quot;001D52A5&quot;/&gt;&lt;wsp:rsid wsp:val=&quot;001D7AE8&quot;/&gt;&lt;wsp:rsid wsp:val=&quot;001E194B&quot;/&gt;&lt;wsp:rsid wsp:val=&quot;001F0B04&quot;/&gt;&lt;wsp:rsid wsp:val=&quot;001F2C8F&quot;/&gt;&lt;wsp:rsid wsp:val=&quot;001F5753&quot;/&gt;&lt;wsp:rsid wsp:val=&quot;00202C71&quot;/&gt;&lt;wsp:rsid wsp:val=&quot;00207C8A&quot;/&gt;&lt;wsp:rsid wsp:val=&quot;00211448&quot;/&gt;&lt;wsp:rsid wsp:val=&quot;00214F2A&quot;/&gt;&lt;wsp:rsid wsp:val=&quot;002216DD&quot;/&gt;&lt;wsp:rsid wsp:val=&quot;00221E20&quot;/&gt;&lt;wsp:rsid wsp:val=&quot;00222232&quot;/&gt;&lt;wsp:rsid wsp:val=&quot;00225E18&quot;/&gt;&lt;wsp:rsid wsp:val=&quot;002318A4&quot;/&gt;&lt;wsp:rsid wsp:val=&quot;00237671&quot;/&gt;&lt;wsp:rsid wsp:val=&quot;002403C8&quot;/&gt;&lt;wsp:rsid wsp:val=&quot;002418CB&quot;/&gt;&lt;wsp:rsid wsp:val=&quot;0024450E&quot;/&gt;&lt;wsp:rsid wsp:val=&quot;00246843&quot;/&gt;&lt;wsp:rsid wsp:val=&quot;00253884&quot;/&gt;&lt;wsp:rsid wsp:val=&quot;0025466B&quot;/&gt;&lt;wsp:rsid wsp:val=&quot;002552FA&quot;/&gt;&lt;wsp:rsid wsp:val=&quot;00255925&quot;/&gt;&lt;wsp:rsid wsp:val=&quot;00256228&quot;/&gt;&lt;wsp:rsid wsp:val=&quot;0025787C&quot;/&gt;&lt;wsp:rsid wsp:val=&quot;0026268C&quot;/&gt;&lt;wsp:rsid wsp:val=&quot;0026268F&quot;/&gt;&lt;wsp:rsid wsp:val=&quot;00265760&quot;/&gt;&lt;wsp:rsid wsp:val=&quot;0026611D&quot;/&gt;&lt;wsp:rsid wsp:val=&quot;00271CD9&quot;/&gt;&lt;wsp:rsid wsp:val=&quot;00274C56&quot;/&gt;&lt;wsp:rsid wsp:val=&quot;00277FBD&quot;/&gt;&lt;wsp:rsid wsp:val=&quot;00282066&quot;/&gt;&lt;wsp:rsid wsp:val=&quot;00282E2C&quot;/&gt;&lt;wsp:rsid wsp:val=&quot;002874EF&quot;/&gt;&lt;wsp:rsid wsp:val=&quot;00290918&quot;/&gt;&lt;wsp:rsid wsp:val=&quot;00293C36&quot;/&gt;&lt;wsp:rsid wsp:val=&quot;00293DB3&quot;/&gt;&lt;wsp:rsid wsp:val=&quot;0029433B&quot;/&gt;&lt;wsp:rsid wsp:val=&quot;0029757E&quot;/&gt;&lt;wsp:rsid wsp:val=&quot;002975B2&quot;/&gt;&lt;wsp:rsid wsp:val=&quot;002A1E7D&quot;/&gt;&lt;wsp:rsid wsp:val=&quot;002A5F61&quot;/&gt;&lt;wsp:rsid wsp:val=&quot;002A6961&quot;/&gt;&lt;wsp:rsid wsp:val=&quot;002A7468&quot;/&gt;&lt;wsp:rsid wsp:val=&quot;002B1FFA&quot;/&gt;&lt;wsp:rsid wsp:val=&quot;002B2F98&quot;/&gt;&lt;wsp:rsid wsp:val=&quot;002B4B78&quot;/&gt;&lt;wsp:rsid wsp:val=&quot;002B544D&quot;/&gt;&lt;wsp:rsid wsp:val=&quot;002B5CF4&quot;/&gt;&lt;wsp:rsid wsp:val=&quot;002B6E04&quot;/&gt;&lt;wsp:rsid wsp:val=&quot;002B6E21&quot;/&gt;&lt;wsp:rsid wsp:val=&quot;002B7EBB&quot;/&gt;&lt;wsp:rsid wsp:val=&quot;002C0597&quot;/&gt;&lt;wsp:rsid wsp:val=&quot;002C7702&quot;/&gt;&lt;wsp:rsid wsp:val=&quot;002D4D40&quot;/&gt;&lt;wsp:rsid wsp:val=&quot;002E1DF6&quot;/&gt;&lt;wsp:rsid wsp:val=&quot;002E5FAA&quot;/&gt;&lt;wsp:rsid wsp:val=&quot;002F3008&quot;/&gt;&lt;wsp:rsid wsp:val=&quot;002F4411&quot;/&gt;&lt;wsp:rsid wsp:val=&quot;002F4938&quot;/&gt;&lt;wsp:rsid wsp:val=&quot;002F5E64&quot;/&gt;&lt;wsp:rsid wsp:val=&quot;002F703A&quot;/&gt;&lt;wsp:rsid wsp:val=&quot;002F7271&quot;/&gt;&lt;wsp:rsid wsp:val=&quot;00306407&quot;/&gt;&lt;wsp:rsid wsp:val=&quot;003161EF&quot;/&gt;&lt;wsp:rsid wsp:val=&quot;00320E52&quot;/&gt;&lt;wsp:rsid wsp:val=&quot;00322F38&quot;/&gt;&lt;wsp:rsid wsp:val=&quot;0032301D&quot;/&gt;&lt;wsp:rsid wsp:val=&quot;003230FF&quot;/&gt;&lt;wsp:rsid wsp:val=&quot;003234F6&quot;/&gt;&lt;wsp:rsid wsp:val=&quot;00326321&quot;/&gt;&lt;wsp:rsid wsp:val=&quot;003269DE&quot;/&gt;&lt;wsp:rsid wsp:val=&quot;0033037F&quot;/&gt;&lt;wsp:rsid wsp:val=&quot;00343017&quot;/&gt;&lt;wsp:rsid wsp:val=&quot;00343A55&quot;/&gt;&lt;wsp:rsid wsp:val=&quot;00345EEA&quot;/&gt;&lt;wsp:rsid wsp:val=&quot;003521DB&quot;/&gt;&lt;wsp:rsid wsp:val=&quot;00352837&quot;/&gt;&lt;wsp:rsid wsp:val=&quot;0035315B&quot;/&gt;&lt;wsp:rsid wsp:val=&quot;003544C1&quot;/&gt;&lt;wsp:rsid wsp:val=&quot;0036084B&quot;/&gt;&lt;wsp:rsid wsp:val=&quot;00364947&quot;/&gt;&lt;wsp:rsid wsp:val=&quot;003653F4&quot;/&gt;&lt;wsp:rsid wsp:val=&quot;00365442&quot;/&gt;&lt;wsp:rsid wsp:val=&quot;00370F7C&quot;/&gt;&lt;wsp:rsid wsp:val=&quot;00371B67&quot;/&gt;&lt;wsp:rsid wsp:val=&quot;0037212B&quot;/&gt;&lt;wsp:rsid wsp:val=&quot;00373044&quot;/&gt;&lt;wsp:rsid wsp:val=&quot;00373E71&quot;/&gt;&lt;wsp:rsid wsp:val=&quot;003777D2&quot;/&gt;&lt;wsp:rsid wsp:val=&quot;00381381&quot;/&gt;&lt;wsp:rsid wsp:val=&quot;00382901&quot;/&gt;&lt;wsp:rsid wsp:val=&quot;00383672&quot;/&gt;&lt;wsp:rsid wsp:val=&quot;00386F7F&quot;/&gt;&lt;wsp:rsid wsp:val=&quot;00392A3A&quot;/&gt;&lt;wsp:rsid wsp:val=&quot;003975BA&quot;/&gt;&lt;wsp:rsid wsp:val=&quot;003A135F&quot;/&gt;&lt;wsp:rsid wsp:val=&quot;003A4607&quot;/&gt;&lt;wsp:rsid wsp:val=&quot;003B0BF8&quot;/&gt;&lt;wsp:rsid wsp:val=&quot;003B25BD&quot;/&gt;&lt;wsp:rsid wsp:val=&quot;003B3DC0&quot;/&gt;&lt;wsp:rsid wsp:val=&quot;003B5963&quot;/&gt;&lt;wsp:rsid wsp:val=&quot;003B6548&quot;/&gt;&lt;wsp:rsid wsp:val=&quot;003C6E77&quot;/&gt;&lt;wsp:rsid wsp:val=&quot;003D33A8&quot;/&gt;&lt;wsp:rsid wsp:val=&quot;003E0305&quot;/&gt;&lt;wsp:rsid wsp:val=&quot;003E3693&quot;/&gt;&lt;wsp:rsid wsp:val=&quot;003E722C&quot;/&gt;&lt;wsp:rsid wsp:val=&quot;003E74F4&quot;/&gt;&lt;wsp:rsid wsp:val=&quot;003E7642&quot;/&gt;&lt;wsp:rsid wsp:val=&quot;003E7BD2&quot;/&gt;&lt;wsp:rsid wsp:val=&quot;003F2515&quot;/&gt;&lt;wsp:rsid wsp:val=&quot;003F4797&quot;/&gt;&lt;wsp:rsid wsp:val=&quot;003F47B5&quot;/&gt;&lt;wsp:rsid wsp:val=&quot;004109C3&quot;/&gt;&lt;wsp:rsid wsp:val=&quot;00414181&quot;/&gt;&lt;wsp:rsid wsp:val=&quot;004206FA&quot;/&gt;&lt;wsp:rsid wsp:val=&quot;00423922&quot;/&gt;&lt;wsp:rsid wsp:val=&quot;00427AF5&quot;/&gt;&lt;wsp:rsid wsp:val=&quot;00431123&quot;/&gt;&lt;wsp:rsid wsp:val=&quot;00431E83&quot;/&gt;&lt;wsp:rsid wsp:val=&quot;00432F62&quot;/&gt;&lt;wsp:rsid wsp:val=&quot;00433F46&quot;/&gt;&lt;wsp:rsid wsp:val=&quot;004350AE&quot;/&gt;&lt;wsp:rsid wsp:val=&quot;00437B5E&quot;/&gt;&lt;wsp:rsid wsp:val=&quot;004446C5&quot;/&gt;&lt;wsp:rsid wsp:val=&quot;00445321&quot;/&gt;&lt;wsp:rsid wsp:val=&quot;00446338&quot;/&gt;&lt;wsp:rsid wsp:val=&quot;00446F33&quot;/&gt;&lt;wsp:rsid wsp:val=&quot;004507A9&quot;/&gt;&lt;wsp:rsid wsp:val=&quot;00455581&quot;/&gt;&lt;wsp:rsid wsp:val=&quot;004604FD&quot;/&gt;&lt;wsp:rsid wsp:val=&quot;00460DBF&quot;/&gt;&lt;wsp:rsid wsp:val=&quot;00462878&quot;/&gt;&lt;wsp:rsid wsp:val=&quot;00462BD0&quot;/&gt;&lt;wsp:rsid wsp:val=&quot;00464CF3&quot;/&gt;&lt;wsp:rsid wsp:val=&quot;00471E96&quot;/&gt;&lt;wsp:rsid wsp:val=&quot;0049013E&quot;/&gt;&lt;wsp:rsid wsp:val=&quot;004902E0&quot;/&gt;&lt;wsp:rsid wsp:val=&quot;00490947&quot;/&gt;&lt;wsp:rsid wsp:val=&quot;004910AC&quot;/&gt;&lt;wsp:rsid wsp:val=&quot;00491785&quot;/&gt;&lt;wsp:rsid wsp:val=&quot;004945F3&quot;/&gt;&lt;wsp:rsid wsp:val=&quot;004952EA&quot;/&gt;&lt;wsp:rsid wsp:val=&quot;004A5270&quot;/&gt;&lt;wsp:rsid wsp:val=&quot;004A74A3&quot;/&gt;&lt;wsp:rsid wsp:val=&quot;004A7E9C&quot;/&gt;&lt;wsp:rsid wsp:val=&quot;004B0BE9&quot;/&gt;&lt;wsp:rsid wsp:val=&quot;004C20CB&quot;/&gt;&lt;wsp:rsid wsp:val=&quot;004C2920&quot;/&gt;&lt;wsp:rsid wsp:val=&quot;004C323D&quot;/&gt;&lt;wsp:rsid wsp:val=&quot;004C5181&quot;/&gt;&lt;wsp:rsid wsp:val=&quot;004C6C1E&quot;/&gt;&lt;wsp:rsid wsp:val=&quot;004C7A79&quot;/&gt;&lt;wsp:rsid wsp:val=&quot;004D31D3&quot;/&gt;&lt;wsp:rsid wsp:val=&quot;004D6F83&quot;/&gt;&lt;wsp:rsid wsp:val=&quot;004E14BC&quot;/&gt;&lt;wsp:rsid wsp:val=&quot;004E1DF7&quot;/&gt;&lt;wsp:rsid wsp:val=&quot;004E1E2B&quot;/&gt;&lt;wsp:rsid wsp:val=&quot;004E40C3&quot;/&gt;&lt;wsp:rsid wsp:val=&quot;004E4D94&quot;/&gt;&lt;wsp:rsid wsp:val=&quot;004E5CA0&quot;/&gt;&lt;wsp:rsid wsp:val=&quot;004F05C9&quot;/&gt;&lt;wsp:rsid wsp:val=&quot;004F23AD&quot;/&gt;&lt;wsp:rsid wsp:val=&quot;004F3BB6&quot;/&gt;&lt;wsp:rsid wsp:val=&quot;005104F5&quot;/&gt;&lt;wsp:rsid wsp:val=&quot;0051156B&quot;/&gt;&lt;wsp:rsid wsp:val=&quot;005121D4&quot;/&gt;&lt;wsp:rsid wsp:val=&quot;00514701&quot;/&gt;&lt;wsp:rsid wsp:val=&quot;00521FA7&quot;/&gt;&lt;wsp:rsid wsp:val=&quot;00535474&quot;/&gt;&lt;wsp:rsid wsp:val=&quot;00545925&quot;/&gt;&lt;wsp:rsid wsp:val=&quot;00546BEF&quot;/&gt;&lt;wsp:rsid wsp:val=&quot;00547AEB&quot;/&gt;&lt;wsp:rsid wsp:val=&quot;005519E2&quot;/&gt;&lt;wsp:rsid wsp:val=&quot;00553E3A&quot;/&gt;&lt;wsp:rsid wsp:val=&quot;00554E65&quot;/&gt;&lt;wsp:rsid wsp:val=&quot;00554E95&quot;/&gt;&lt;wsp:rsid wsp:val=&quot;00556A4D&quot;/&gt;&lt;wsp:rsid wsp:val=&quot;0056210C&quot;/&gt;&lt;wsp:rsid wsp:val=&quot;005634EC&quot;/&gt;&lt;wsp:rsid wsp:val=&quot;0056693D&quot;/&gt;&lt;wsp:rsid wsp:val=&quot;00566FBD&quot;/&gt;&lt;wsp:rsid wsp:val=&quot;00570536&quot;/&gt;&lt;wsp:rsid wsp:val=&quot;00571A20&quot;/&gt;&lt;wsp:rsid wsp:val=&quot;00571B80&quot;/&gt;&lt;wsp:rsid wsp:val=&quot;0057322A&quot;/&gt;&lt;wsp:rsid wsp:val=&quot;00573D22&quot;/&gt;&lt;wsp:rsid wsp:val=&quot;005765F4&quot;/&gt;&lt;wsp:rsid wsp:val=&quot;005832F0&quot;/&gt;&lt;wsp:rsid wsp:val=&quot;00585CC3&quot;/&gt;&lt;wsp:rsid wsp:val=&quot;00587DE1&quot;/&gt;&lt;wsp:rsid wsp:val=&quot;005936B6&quot;/&gt;&lt;wsp:rsid wsp:val=&quot;0059417F&quot;/&gt;&lt;wsp:rsid wsp:val=&quot;00594D97&quot;/&gt;&lt;wsp:rsid wsp:val=&quot;00595848&quot;/&gt;&lt;wsp:rsid wsp:val=&quot;00595D38&quot;/&gt;&lt;wsp:rsid wsp:val=&quot;005A3D42&quot;/&gt;&lt;wsp:rsid wsp:val=&quot;005A4F38&quot;/&gt;&lt;wsp:rsid wsp:val=&quot;005A5952&quot;/&gt;&lt;wsp:rsid wsp:val=&quot;005B25BC&quot;/&gt;&lt;wsp:rsid wsp:val=&quot;005B374C&quot;/&gt;&lt;wsp:rsid wsp:val=&quot;005C21E1&quot;/&gt;&lt;wsp:rsid wsp:val=&quot;005C3943&quot;/&gt;&lt;wsp:rsid wsp:val=&quot;005C5FE9&quot;/&gt;&lt;wsp:rsid wsp:val=&quot;005C695E&quot;/&gt;&lt;wsp:rsid wsp:val=&quot;005C69AB&quot;/&gt;&lt;wsp:rsid wsp:val=&quot;005D08B4&quot;/&gt;&lt;wsp:rsid wsp:val=&quot;005D4467&quot;/&gt;&lt;wsp:rsid wsp:val=&quot;005E1E3F&quot;/&gt;&lt;wsp:rsid wsp:val=&quot;005E4C37&quot;/&gt;&lt;wsp:rsid wsp:val=&quot;005F1309&quot;/&gt;&lt;wsp:rsid wsp:val=&quot;005F1A74&quot;/&gt;&lt;wsp:rsid wsp:val=&quot;0060301B&quot;/&gt;&lt;wsp:rsid wsp:val=&quot;00603782&quot;/&gt;&lt;wsp:rsid wsp:val=&quot;00613ABD&quot;/&gt;&lt;wsp:rsid wsp:val=&quot;00615049&quot;/&gt;&lt;wsp:rsid wsp:val=&quot;006177E2&quot;/&gt;&lt;wsp:rsid wsp:val=&quot;00623D44&quot;/&gt;&lt;wsp:rsid wsp:val=&quot;00625E37&quot;/&gt;&lt;wsp:rsid wsp:val=&quot;00640051&quot;/&gt;&lt;wsp:rsid wsp:val=&quot;00642348&quot;/&gt;&lt;wsp:rsid wsp:val=&quot;00645CFD&quot;/&gt;&lt;wsp:rsid wsp:val=&quot;00645E6A&quot;/&gt;&lt;wsp:rsid wsp:val=&quot;00650BEB&quot;/&gt;&lt;wsp:rsid wsp:val=&quot;00652D10&quot;/&gt;&lt;wsp:rsid wsp:val=&quot;0065303B&quot;/&gt;&lt;wsp:rsid wsp:val=&quot;006539AE&quot;/&gt;&lt;wsp:rsid wsp:val=&quot;00654455&quot;/&gt;&lt;wsp:rsid wsp:val=&quot;006564C5&quot;/&gt;&lt;wsp:rsid wsp:val=&quot;006656BB&quot;/&gt;&lt;wsp:rsid wsp:val=&quot;00666238&quot;/&gt;&lt;wsp:rsid wsp:val=&quot;006805FF&quot;/&gt;&lt;wsp:rsid wsp:val=&quot;00683ABA&quot;/&gt;&lt;wsp:rsid wsp:val=&quot;00683F5D&quot;/&gt;&lt;wsp:rsid wsp:val=&quot;00684F21&quot;/&gt;&lt;wsp:rsid wsp:val=&quot;00685FE2&quot;/&gt;&lt;wsp:rsid wsp:val=&quot;00691735&quot;/&gt;&lt;wsp:rsid wsp:val=&quot;0069331A&quot;/&gt;&lt;wsp:rsid wsp:val=&quot;0069360C&quot;/&gt;&lt;wsp:rsid wsp:val=&quot;00693D54&quot;/&gt;&lt;wsp:rsid wsp:val=&quot;0069635A&quot;/&gt;&lt;wsp:rsid wsp:val=&quot;006A16C2&quot;/&gt;&lt;wsp:rsid wsp:val=&quot;006A3605&quot;/&gt;&lt;wsp:rsid wsp:val=&quot;006A45C1&quot;/&gt;&lt;wsp:rsid wsp:val=&quot;006B2A42&quot;/&gt;&lt;wsp:rsid wsp:val=&quot;006B2FA0&quot;/&gt;&lt;wsp:rsid wsp:val=&quot;006B3BB5&quot;/&gt;&lt;wsp:rsid wsp:val=&quot;006B7170&quot;/&gt;&lt;wsp:rsid wsp:val=&quot;006C2835&quot;/&gt;&lt;wsp:rsid wsp:val=&quot;006E4A82&quot;/&gt;&lt;wsp:rsid wsp:val=&quot;006F1592&quot;/&gt;&lt;wsp:rsid wsp:val=&quot;006F4666&quot;/&gt;&lt;wsp:rsid wsp:val=&quot;007003FC&quot;/&gt;&lt;wsp:rsid wsp:val=&quot;0070041D&quot;/&gt;&lt;wsp:rsid wsp:val=&quot;007040C1&quot;/&gt;&lt;wsp:rsid wsp:val=&quot;00704221&quot;/&gt;&lt;wsp:rsid wsp:val=&quot;00704D87&quot;/&gt;&lt;wsp:rsid wsp:val=&quot;00705161&quot;/&gt;&lt;wsp:rsid wsp:val=&quot;007127F2&quot;/&gt;&lt;wsp:rsid wsp:val=&quot;00714F77&quot;/&gt;&lt;wsp:rsid wsp:val=&quot;00720496&quot;/&gt;&lt;wsp:rsid wsp:val=&quot;00722295&quot;/&gt;&lt;wsp:rsid wsp:val=&quot;007258AA&quot;/&gt;&lt;wsp:rsid wsp:val=&quot;00726297&quot;/&gt;&lt;wsp:rsid wsp:val=&quot;0073211D&quot;/&gt;&lt;wsp:rsid wsp:val=&quot;007333B3&quot;/&gt;&lt;wsp:rsid wsp:val=&quot;00734C4D&quot;/&gt;&lt;wsp:rsid wsp:val=&quot;00735851&quot;/&gt;&lt;wsp:rsid wsp:val=&quot;00737671&quot;/&gt;&lt;wsp:rsid wsp:val=&quot;007436B8&quot;/&gt;&lt;wsp:rsid wsp:val=&quot;00750380&quot;/&gt;&lt;wsp:rsid wsp:val=&quot;00756874&quot;/&gt;&lt;wsp:rsid wsp:val=&quot;00757025&quot;/&gt;&lt;wsp:rsid wsp:val=&quot;0075736E&quot;/&gt;&lt;wsp:rsid wsp:val=&quot;00757BDC&quot;/&gt;&lt;wsp:rsid wsp:val=&quot;00757FA9&quot;/&gt;&lt;wsp:rsid wsp:val=&quot;00763C91&quot;/&gt;&lt;wsp:rsid wsp:val=&quot;00766AB9&quot;/&gt;&lt;wsp:rsid wsp:val=&quot;007771B0&quot;/&gt;&lt;wsp:rsid wsp:val=&quot;00777298&quot;/&gt;&lt;wsp:rsid wsp:val=&quot;0078005E&quot;/&gt;&lt;wsp:rsid wsp:val=&quot;007831B0&quot;/&gt;&lt;wsp:rsid wsp:val=&quot;00784592&quot;/&gt;&lt;wsp:rsid wsp:val=&quot;007849A9&quot;/&gt;&lt;wsp:rsid wsp:val=&quot;00785E7F&quot;/&gt;&lt;wsp:rsid wsp:val=&quot;007860DD&quot;/&gt;&lt;wsp:rsid wsp:val=&quot;007864FE&quot;/&gt;&lt;wsp:rsid wsp:val=&quot;00792320&quot;/&gt;&lt;wsp:rsid wsp:val=&quot;007976D3&quot;/&gt;&lt;wsp:rsid wsp:val=&quot;007A24A4&quot;/&gt;&lt;wsp:rsid wsp:val=&quot;007A28D0&quot;/&gt;&lt;wsp:rsid wsp:val=&quot;007A6225&quot;/&gt;&lt;wsp:rsid wsp:val=&quot;007B25A3&quot;/&gt;&lt;wsp:rsid wsp:val=&quot;007B6C5F&quot;/&gt;&lt;wsp:rsid wsp:val=&quot;007B7F47&quot;/&gt;&lt;wsp:rsid wsp:val=&quot;007C3C20&quot;/&gt;&lt;wsp:rsid wsp:val=&quot;007E116C&quot;/&gt;&lt;wsp:rsid wsp:val=&quot;007E5906&quot;/&gt;&lt;wsp:rsid wsp:val=&quot;007E5D96&quot;/&gt;&lt;wsp:rsid wsp:val=&quot;007F0EFA&quot;/&gt;&lt;wsp:rsid wsp:val=&quot;007F2445&quot;/&gt;&lt;wsp:rsid wsp:val=&quot;007F4EAF&quot;/&gt;&lt;wsp:rsid wsp:val=&quot;007F5957&quot;/&gt;&lt;wsp:rsid wsp:val=&quot;00807555&quot;/&gt;&lt;wsp:rsid wsp:val=&quot;008112CB&quot;/&gt;&lt;wsp:rsid wsp:val=&quot;008120B3&quot;/&gt;&lt;wsp:rsid wsp:val=&quot;008124BF&quot;/&gt;&lt;wsp:rsid wsp:val=&quot;0081369C&quot;/&gt;&lt;wsp:rsid wsp:val=&quot;00813F2B&quot;/&gt;&lt;wsp:rsid wsp:val=&quot;0081645F&quot;/&gt;&lt;wsp:rsid wsp:val=&quot;00823B6D&quot;/&gt;&lt;wsp:rsid wsp:val=&quot;00832EF8&quot;/&gt;&lt;wsp:rsid wsp:val=&quot;00833CD6&quot;/&gt;&lt;wsp:rsid wsp:val=&quot;00841718&quot;/&gt;&lt;wsp:rsid wsp:val=&quot;00842958&quot;/&gt;&lt;wsp:rsid wsp:val=&quot;00854556&quot;/&gt;&lt;wsp:rsid wsp:val=&quot;00864E0E&quot;/&gt;&lt;wsp:rsid wsp:val=&quot;00872180&quot;/&gt;&lt;wsp:rsid wsp:val=&quot;0087282C&quot;/&gt;&lt;wsp:rsid wsp:val=&quot;008803FB&quot;/&gt;&lt;wsp:rsid wsp:val=&quot;0088067A&quot;/&gt;&lt;wsp:rsid wsp:val=&quot;00884ADD&quot;/&gt;&lt;wsp:rsid wsp:val=&quot;0088611D&quot;/&gt;&lt;wsp:rsid wsp:val=&quot;00896910&quot;/&gt;&lt;wsp:rsid wsp:val=&quot;008A14BE&quot;/&gt;&lt;wsp:rsid wsp:val=&quot;008A34F1&quot;/&gt;&lt;wsp:rsid wsp:val=&quot;008A4FFD&quot;/&gt;&lt;wsp:rsid wsp:val=&quot;008B4981&quot;/&gt;&lt;wsp:rsid wsp:val=&quot;008C655F&quot;/&gt;&lt;wsp:rsid wsp:val=&quot;008C753E&quot;/&gt;&lt;wsp:rsid wsp:val=&quot;008D31DC&quot;/&gt;&lt;wsp:rsid wsp:val=&quot;008D32AD&quot;/&gt;&lt;wsp:rsid wsp:val=&quot;008D34CA&quot;/&gt;&lt;wsp:rsid wsp:val=&quot;008E2992&quot;/&gt;&lt;wsp:rsid wsp:val=&quot;008E3830&quot;/&gt;&lt;wsp:rsid wsp:val=&quot;008F04BE&quot;/&gt;&lt;wsp:rsid wsp:val=&quot;008F621B&quot;/&gt;&lt;wsp:rsid wsp:val=&quot;008F7720&quot;/&gt;&lt;wsp:rsid wsp:val=&quot;008F7C25&quot;/&gt;&lt;wsp:rsid wsp:val=&quot;009031DE&quot;/&gt;&lt;wsp:rsid wsp:val=&quot;00910B2F&quot;/&gt;&lt;wsp:rsid wsp:val=&quot;009115AF&quot;/&gt;&lt;wsp:rsid wsp:val=&quot;009117D5&quot;/&gt;&lt;wsp:rsid wsp:val=&quot;009121DF&quot;/&gt;&lt;wsp:rsid wsp:val=&quot;0091240F&quot;/&gt;&lt;wsp:rsid wsp:val=&quot;0091254E&quot;/&gt;&lt;wsp:rsid wsp:val=&quot;009170A8&quot;/&gt;&lt;wsp:rsid wsp:val=&quot;009219A7&quot;/&gt;&lt;wsp:rsid wsp:val=&quot;00924E2C&quot;/&gt;&lt;wsp:rsid wsp:val=&quot;00930024&quot;/&gt;&lt;wsp:rsid wsp:val=&quot;00931DD4&quot;/&gt;&lt;wsp:rsid wsp:val=&quot;0093445B&quot;/&gt;&lt;wsp:rsid wsp:val=&quot;009347F2&quot;/&gt;&lt;wsp:rsid wsp:val=&quot;009401DF&quot;/&gt;&lt;wsp:rsid wsp:val=&quot;00943BDE&quot;/&gt;&lt;wsp:rsid wsp:val=&quot;00947247&quot;/&gt;&lt;wsp:rsid wsp:val=&quot;009478AF&quot;/&gt;&lt;wsp:rsid wsp:val=&quot;00953883&quot;/&gt;&lt;wsp:rsid wsp:val=&quot;009544C6&quot;/&gt;&lt;wsp:rsid wsp:val=&quot;0096265B&quot;/&gt;&lt;wsp:rsid wsp:val=&quot;00964EF6&quot;/&gt;&lt;wsp:rsid wsp:val=&quot;009657DE&quot;/&gt;&lt;wsp:rsid wsp:val=&quot;00966AAD&quot;/&gt;&lt;wsp:rsid wsp:val=&quot;00973FA2&quot;/&gt;&lt;wsp:rsid wsp:val=&quot;00974FA5&quot;/&gt;&lt;wsp:rsid wsp:val=&quot;009812F2&quot;/&gt;&lt;wsp:rsid wsp:val=&quot;00981D9F&quot;/&gt;&lt;wsp:rsid wsp:val=&quot;00985935&quot;/&gt;&lt;wsp:rsid wsp:val=&quot;00987A94&quot;/&gt;&lt;wsp:rsid wsp:val=&quot;0099100A&quot;/&gt;&lt;wsp:rsid wsp:val=&quot;009939F1&quot;/&gt;&lt;wsp:rsid wsp:val=&quot;009A02D8&quot;/&gt;&lt;wsp:rsid wsp:val=&quot;009A0CEA&quot;/&gt;&lt;wsp:rsid wsp:val=&quot;009A0DC8&quot;/&gt;&lt;wsp:rsid wsp:val=&quot;009A5A09&quot;/&gt;&lt;wsp:rsid wsp:val=&quot;009A6F45&quot;/&gt;&lt;wsp:rsid wsp:val=&quot;009A7A39&quot;/&gt;&lt;wsp:rsid wsp:val=&quot;009B1D77&quot;/&gt;&lt;wsp:rsid wsp:val=&quot;009B64D0&quot;/&gt;&lt;wsp:rsid wsp:val=&quot;009C2CD7&quot;/&gt;&lt;wsp:rsid wsp:val=&quot;009C5249&quot;/&gt;&lt;wsp:rsid wsp:val=&quot;009C66F6&quot;/&gt;&lt;wsp:rsid wsp:val=&quot;009D0A7F&quot;/&gt;&lt;wsp:rsid wsp:val=&quot;009D10F6&quot;/&gt;&lt;wsp:rsid wsp:val=&quot;009D11EC&quot;/&gt;&lt;wsp:rsid wsp:val=&quot;009D25E3&quot;/&gt;&lt;wsp:rsid wsp:val=&quot;009E111F&quot;/&gt;&lt;wsp:rsid wsp:val=&quot;009E2F39&quot;/&gt;&lt;wsp:rsid wsp:val=&quot;009E4A2A&quot;/&gt;&lt;wsp:rsid wsp:val=&quot;009E67A0&quot;/&gt;&lt;wsp:rsid wsp:val=&quot;009F08F7&quot;/&gt;&lt;wsp:rsid wsp:val=&quot;009F69FB&quot;/&gt;&lt;wsp:rsid wsp:val=&quot;00A053FA&quot;/&gt;&lt;wsp:rsid wsp:val=&quot;00A1200A&quot;/&gt;&lt;wsp:rsid wsp:val=&quot;00A120D8&quot;/&gt;&lt;wsp:rsid wsp:val=&quot;00A16B00&quot;/&gt;&lt;wsp:rsid wsp:val=&quot;00A16B41&quot;/&gt;&lt;wsp:rsid wsp:val=&quot;00A308B7&quot;/&gt;&lt;wsp:rsid wsp:val=&quot;00A31351&quot;/&gt;&lt;wsp:rsid wsp:val=&quot;00A3258C&quot;/&gt;&lt;wsp:rsid wsp:val=&quot;00A35579&quot;/&gt;&lt;wsp:rsid wsp:val=&quot;00A43A40&quot;/&gt;&lt;wsp:rsid wsp:val=&quot;00A453E9&quot;/&gt;&lt;wsp:rsid wsp:val=&quot;00A6220C&quot;/&gt;&lt;wsp:rsid wsp:val=&quot;00A71D04&quot;/&gt;&lt;wsp:rsid wsp:val=&quot;00A750A4&quot;/&gt;&lt;wsp:rsid wsp:val=&quot;00A7688F&quot;/&gt;&lt;wsp:rsid wsp:val=&quot;00A776FB&quot;/&gt;&lt;wsp:rsid wsp:val=&quot;00A77794&quot;/&gt;&lt;wsp:rsid wsp:val=&quot;00A80D3B&quot;/&gt;&lt;wsp:rsid wsp:val=&quot;00A83659&quot;/&gt;&lt;wsp:rsid wsp:val=&quot;00A95126&quot;/&gt;&lt;wsp:rsid wsp:val=&quot;00A97DC5&quot;/&gt;&lt;wsp:rsid wsp:val=&quot;00AA08CA&quot;/&gt;&lt;wsp:rsid wsp:val=&quot;00AA158C&quot;/&gt;&lt;wsp:rsid wsp:val=&quot;00AA1F42&quot;/&gt;&lt;wsp:rsid wsp:val=&quot;00AA341E&quot;/&gt;&lt;wsp:rsid wsp:val=&quot;00AA5C7C&quot;/&gt;&lt;wsp:rsid wsp:val=&quot;00AA5DD7&quot;/&gt;&lt;wsp:rsid wsp:val=&quot;00AB26DA&quot;/&gt;&lt;wsp:rsid wsp:val=&quot;00AB56BD&quot;/&gt;&lt;wsp:rsid wsp:val=&quot;00AB5C38&quot;/&gt;&lt;wsp:rsid wsp:val=&quot;00AB5CF6&quot;/&gt;&lt;wsp:rsid wsp:val=&quot;00AC278D&quot;/&gt;&lt;wsp:rsid wsp:val=&quot;00AD2F16&quot;/&gt;&lt;wsp:rsid wsp:val=&quot;00AD7C0A&quot;/&gt;&lt;wsp:rsid wsp:val=&quot;00AE554F&quot;/&gt;&lt;wsp:rsid wsp:val=&quot;00AE7351&quot;/&gt;&lt;wsp:rsid wsp:val=&quot;00AF676F&quot;/&gt;&lt;wsp:rsid wsp:val=&quot;00AF6EBE&quot;/&gt;&lt;wsp:rsid wsp:val=&quot;00B02F47&quot;/&gt;&lt;wsp:rsid wsp:val=&quot;00B057B7&quot;/&gt;&lt;wsp:rsid wsp:val=&quot;00B112C6&quot;/&gt;&lt;wsp:rsid wsp:val=&quot;00B20627&quot;/&gt;&lt;wsp:rsid wsp:val=&quot;00B23921&quot;/&gt;&lt;wsp:rsid wsp:val=&quot;00B26221&quot;/&gt;&lt;wsp:rsid wsp:val=&quot;00B34F32&quot;/&gt;&lt;wsp:rsid wsp:val=&quot;00B40D93&quot;/&gt;&lt;wsp:rsid wsp:val=&quot;00B51372&quot;/&gt;&lt;wsp:rsid wsp:val=&quot;00B51A94&quot;/&gt;&lt;wsp:rsid wsp:val=&quot;00B52EDF&quot;/&gt;&lt;wsp:rsid wsp:val=&quot;00B601DC&quot;/&gt;&lt;wsp:rsid wsp:val=&quot;00B631FD&quot;/&gt;&lt;wsp:rsid wsp:val=&quot;00B639F2&quot;/&gt;&lt;wsp:rsid wsp:val=&quot;00B63DD2&quot;/&gt;&lt;wsp:rsid wsp:val=&quot;00B640E8&quot;/&gt;&lt;wsp:rsid wsp:val=&quot;00B75DE1&quot;/&gt;&lt;wsp:rsid wsp:val=&quot;00B80F17&quot;/&gt;&lt;wsp:rsid wsp:val=&quot;00B841E5&quot;/&gt;&lt;wsp:rsid wsp:val=&quot;00B906C7&quot;/&gt;&lt;wsp:rsid wsp:val=&quot;00B93DA4&quot;/&gt;&lt;wsp:rsid wsp:val=&quot;00B97AAA&quot;/&gt;&lt;wsp:rsid wsp:val=&quot;00BA74B0&quot;/&gt;&lt;wsp:rsid wsp:val=&quot;00BB460B&quot;/&gt;&lt;wsp:rsid wsp:val=&quot;00BC0B79&quot;/&gt;&lt;wsp:rsid wsp:val=&quot;00BC3D43&quot;/&gt;&lt;wsp:rsid wsp:val=&quot;00BC4757&quot;/&gt;&lt;wsp:rsid wsp:val=&quot;00BC5D8B&quot;/&gt;&lt;wsp:rsid wsp:val=&quot;00BC6F41&quot;/&gt;&lt;wsp:rsid wsp:val=&quot;00BC75B5&quot;/&gt;&lt;wsp:rsid wsp:val=&quot;00BD15B5&quot;/&gt;&lt;wsp:rsid wsp:val=&quot;00BD4762&quot;/&gt;&lt;wsp:rsid wsp:val=&quot;00BD5E6D&quot;/&gt;&lt;wsp:rsid wsp:val=&quot;00BE3695&quot;/&gt;&lt;wsp:rsid wsp:val=&quot;00BF1F78&quot;/&gt;&lt;wsp:rsid wsp:val=&quot;00BF6CE0&quot;/&gt;&lt;wsp:rsid wsp:val=&quot;00C0489A&quot;/&gt;&lt;wsp:rsid wsp:val=&quot;00C05269&quot;/&gt;&lt;wsp:rsid wsp:val=&quot;00C132DD&quot;/&gt;&lt;wsp:rsid wsp:val=&quot;00C16B72&quot;/&gt;&lt;wsp:rsid wsp:val=&quot;00C20525&quot;/&gt;&lt;wsp:rsid wsp:val=&quot;00C2739B&quot;/&gt;&lt;wsp:rsid wsp:val=&quot;00C313E3&quot;/&gt;&lt;wsp:rsid wsp:val=&quot;00C31D20&quot;/&gt;&lt;wsp:rsid wsp:val=&quot;00C37194&quot;/&gt;&lt;wsp:rsid wsp:val=&quot;00C418B6&quot;/&gt;&lt;wsp:rsid wsp:val=&quot;00C43382&quot;/&gt;&lt;wsp:rsid wsp:val=&quot;00C447E1&quot;/&gt;&lt;wsp:rsid wsp:val=&quot;00C4769F&quot;/&gt;&lt;wsp:rsid wsp:val=&quot;00C51723&quot;/&gt;&lt;wsp:rsid wsp:val=&quot;00C54454&quot;/&gt;&lt;wsp:rsid wsp:val=&quot;00C569CC&quot;/&gt;&lt;wsp:rsid wsp:val=&quot;00C61AB9&quot;/&gt;&lt;wsp:rsid wsp:val=&quot;00C63D49&quot;/&gt;&lt;wsp:rsid wsp:val=&quot;00C6529A&quot;/&gt;&lt;wsp:rsid wsp:val=&quot;00C707D9&quot;/&gt;&lt;wsp:rsid wsp:val=&quot;00C70FFF&quot;/&gt;&lt;wsp:rsid wsp:val=&quot;00C724DD&quot;/&gt;&lt;wsp:rsid wsp:val=&quot;00C72E52&quot;/&gt;&lt;wsp:rsid wsp:val=&quot;00C73A93&quot;/&gt;&lt;wsp:rsid wsp:val=&quot;00C758A0&quot;/&gt;&lt;wsp:rsid wsp:val=&quot;00C765A2&quot;/&gt;&lt;wsp:rsid wsp:val=&quot;00C86B16&quot;/&gt;&lt;wsp:rsid wsp:val=&quot;00C878E9&quot;/&gt;&lt;wsp:rsid wsp:val=&quot;00C87E81&quot;/&gt;&lt;wsp:rsid wsp:val=&quot;00C908FC&quot;/&gt;&lt;wsp:rsid wsp:val=&quot;00C937A7&quot;/&gt;&lt;wsp:rsid wsp:val=&quot;00CA3C7D&quot;/&gt;&lt;wsp:rsid wsp:val=&quot;00CA4A7A&quot;/&gt;&lt;wsp:rsid wsp:val=&quot;00CB2D53&quot;/&gt;&lt;wsp:rsid wsp:val=&quot;00CC4FB3&quot;/&gt;&lt;wsp:rsid wsp:val=&quot;00CD056A&quot;/&gt;&lt;wsp:rsid wsp:val=&quot;00CD1153&quot;/&gt;&lt;wsp:rsid wsp:val=&quot;00CD1D60&quot;/&gt;&lt;wsp:rsid wsp:val=&quot;00CD33E9&quot;/&gt;&lt;wsp:rsid wsp:val=&quot;00CD660F&quot;/&gt;&lt;wsp:rsid wsp:val=&quot;00CE35EA&quot;/&gt;&lt;wsp:rsid wsp:val=&quot;00CE4A18&quot;/&gt;&lt;wsp:rsid wsp:val=&quot;00CF2307&quot;/&gt;&lt;wsp:rsid wsp:val=&quot;00D006AF&quot;/&gt;&lt;wsp:rsid wsp:val=&quot;00D00EE3&quot;/&gt;&lt;wsp:rsid wsp:val=&quot;00D0138D&quot;/&gt;&lt;wsp:rsid wsp:val=&quot;00D02D0D&quot;/&gt;&lt;wsp:rsid wsp:val=&quot;00D033F5&quot;/&gt;&lt;wsp:rsid wsp:val=&quot;00D040DE&quot;/&gt;&lt;wsp:rsid wsp:val=&quot;00D1164E&quot;/&gt;&lt;wsp:rsid wsp:val=&quot;00D1420E&quot;/&gt;&lt;wsp:rsid wsp:val=&quot;00D15FAF&quot;/&gt;&lt;wsp:rsid wsp:val=&quot;00D24040&quot;/&gt;&lt;wsp:rsid wsp:val=&quot;00D24E20&quot;/&gt;&lt;wsp:rsid wsp:val=&quot;00D26D98&quot;/&gt;&lt;wsp:rsid wsp:val=&quot;00D344BC&quot;/&gt;&lt;wsp:rsid wsp:val=&quot;00D43CBF&quot;/&gt;&lt;wsp:rsid wsp:val=&quot;00D54923&quot;/&gt;&lt;wsp:rsid wsp:val=&quot;00D5711F&quot;/&gt;&lt;wsp:rsid wsp:val=&quot;00D60F1D&quot;/&gt;&lt;wsp:rsid wsp:val=&quot;00D66373&quot;/&gt;&lt;wsp:rsid wsp:val=&quot;00D6781B&quot;/&gt;&lt;wsp:rsid wsp:val=&quot;00D7598C&quot;/&gt;&lt;wsp:rsid wsp:val=&quot;00D82F8E&quot;/&gt;&lt;wsp:rsid wsp:val=&quot;00D8772C&quot;/&gt;&lt;wsp:rsid wsp:val=&quot;00D978A0&quot;/&gt;&lt;wsp:rsid wsp:val=&quot;00D97D4D&quot;/&gt;&lt;wsp:rsid wsp:val=&quot;00DA4A9C&quot;/&gt;&lt;wsp:rsid wsp:val=&quot;00DA5EE2&quot;/&gt;&lt;wsp:rsid wsp:val=&quot;00DA6A98&quot;/&gt;&lt;wsp:rsid wsp:val=&quot;00DB156D&quot;/&gt;&lt;wsp:rsid wsp:val=&quot;00DB5B89&quot;/&gt;&lt;wsp:rsid wsp:val=&quot;00DB7E00&quot;/&gt;&lt;wsp:rsid wsp:val=&quot;00DC07FA&quot;/&gt;&lt;wsp:rsid wsp:val=&quot;00DC3DAA&quot;/&gt;&lt;wsp:rsid wsp:val=&quot;00DC43DE&quot;/&gt;&lt;wsp:rsid wsp:val=&quot;00DC4FAB&quot;/&gt;&lt;wsp:rsid wsp:val=&quot;00DD110B&quot;/&gt;&lt;wsp:rsid wsp:val=&quot;00DD3524&quot;/&gt;&lt;wsp:rsid wsp:val=&quot;00DD4C7A&quot;/&gt;&lt;wsp:rsid wsp:val=&quot;00DD5063&quot;/&gt;&lt;wsp:rsid wsp:val=&quot;00DD5131&quot;/&gt;&lt;wsp:rsid wsp:val=&quot;00DD77ED&quot;/&gt;&lt;wsp:rsid wsp:val=&quot;00DD7B0B&quot;/&gt;&lt;wsp:rsid wsp:val=&quot;00DE0182&quot;/&gt;&lt;wsp:rsid wsp:val=&quot;00DE0B19&quot;/&gt;&lt;wsp:rsid wsp:val=&quot;00DF0111&quot;/&gt;&lt;wsp:rsid wsp:val=&quot;00DF5416&quot;/&gt;&lt;wsp:rsid wsp:val=&quot;00E00E27&quot;/&gt;&lt;wsp:rsid wsp:val=&quot;00E025DB&quot;/&gt;&lt;wsp:rsid wsp:val=&quot;00E03022&quot;/&gt;&lt;wsp:rsid wsp:val=&quot;00E20892&quot;/&gt;&lt;wsp:rsid wsp:val=&quot;00E2627F&quot;/&gt;&lt;wsp:rsid wsp:val=&quot;00E32BEE&quot;/&gt;&lt;wsp:rsid wsp:val=&quot;00E36E70&quot;/&gt;&lt;wsp:rsid wsp:val=&quot;00E37349&quot;/&gt;&lt;wsp:rsid wsp:val=&quot;00E435D3&quot;/&gt;&lt;wsp:rsid wsp:val=&quot;00E43F18&quot;/&gt;&lt;wsp:rsid wsp:val=&quot;00E46490&quot;/&gt;&lt;wsp:rsid wsp:val=&quot;00E524D0&quot;/&gt;&lt;wsp:rsid wsp:val=&quot;00E54F56&quot;/&gt;&lt;wsp:rsid wsp:val=&quot;00E56075&quot;/&gt;&lt;wsp:rsid wsp:val=&quot;00E56573&quot;/&gt;&lt;wsp:rsid wsp:val=&quot;00E63492&quot;/&gt;&lt;wsp:rsid wsp:val=&quot;00E67062&quot;/&gt;&lt;wsp:rsid wsp:val=&quot;00E676EE&quot;/&gt;&lt;wsp:rsid wsp:val=&quot;00E70311&quot;/&gt;&lt;wsp:rsid wsp:val=&quot;00E75E82&quot;/&gt;&lt;wsp:rsid wsp:val=&quot;00E7769E&quot;/&gt;&lt;wsp:rsid wsp:val=&quot;00E83CC5&quot;/&gt;&lt;wsp:rsid wsp:val=&quot;00E91FF8&quot;/&gt;&lt;wsp:rsid wsp:val=&quot;00E95F0A&quot;/&gt;&lt;wsp:rsid wsp:val=&quot;00EA235C&quot;/&gt;&lt;wsp:rsid wsp:val=&quot;00EA3168&quot;/&gt;&lt;wsp:rsid wsp:val=&quot;00EA7990&quot;/&gt;&lt;wsp:rsid wsp:val=&quot;00EB14BE&quot;/&gt;&lt;wsp:rsid wsp:val=&quot;00EB37A1&quot;/&gt;&lt;wsp:rsid wsp:val=&quot;00EB4922&quot;/&gt;&lt;wsp:rsid wsp:val=&quot;00EB53DA&quot;/&gt;&lt;wsp:rsid wsp:val=&quot;00EC7B40&quot;/&gt;&lt;wsp:rsid wsp:val=&quot;00ED034C&quot;/&gt;&lt;wsp:rsid wsp:val=&quot;00ED2E01&quot;/&gt;&lt;wsp:rsid wsp:val=&quot;00ED3850&quot;/&gt;&lt;wsp:rsid wsp:val=&quot;00ED55AE&quot;/&gt;&lt;wsp:rsid wsp:val=&quot;00EE1DB6&quot;/&gt;&lt;wsp:rsid wsp:val=&quot;00EF1AAC&quot;/&gt;&lt;wsp:rsid wsp:val=&quot;00EF21D5&quot;/&gt;&lt;wsp:rsid wsp:val=&quot;00EF4F07&quot;/&gt;&lt;wsp:rsid wsp:val=&quot;00EF6036&quot;/&gt;&lt;wsp:rsid wsp:val=&quot;00F000D6&quot;/&gt;&lt;wsp:rsid wsp:val=&quot;00F0023E&quot;/&gt;&lt;wsp:rsid wsp:val=&quot;00F07B8D&quot;/&gt;&lt;wsp:rsid wsp:val=&quot;00F11A3F&quot;/&gt;&lt;wsp:rsid wsp:val=&quot;00F1304F&quot;/&gt;&lt;wsp:rsid wsp:val=&quot;00F230BA&quot;/&gt;&lt;wsp:rsid wsp:val=&quot;00F23620&quot;/&gt;&lt;wsp:rsid wsp:val=&quot;00F261B5&quot;/&gt;&lt;wsp:rsid wsp:val=&quot;00F26BD4&quot;/&gt;&lt;wsp:rsid wsp:val=&quot;00F27DE6&quot;/&gt;&lt;wsp:rsid wsp:val=&quot;00F30FD9&quot;/&gt;&lt;wsp:rsid wsp:val=&quot;00F4032A&quot;/&gt;&lt;wsp:rsid wsp:val=&quot;00F4360B&quot;/&gt;&lt;wsp:rsid wsp:val=&quot;00F44ADB&quot;/&gt;&lt;wsp:rsid wsp:val=&quot;00F462DF&quot;/&gt;&lt;wsp:rsid wsp:val=&quot;00F52B54&quot;/&gt;&lt;wsp:rsid wsp:val=&quot;00F5687D&quot;/&gt;&lt;wsp:rsid wsp:val=&quot;00F56DB1&quot;/&gt;&lt;wsp:rsid wsp:val=&quot;00F61405&quot;/&gt;&lt;wsp:rsid wsp:val=&quot;00F61573&quot;/&gt;&lt;wsp:rsid wsp:val=&quot;00F71576&quot;/&gt;&lt;wsp:rsid wsp:val=&quot;00F724AE&quot;/&gt;&lt;wsp:rsid wsp:val=&quot;00F75264&quot;/&gt;&lt;wsp:rsid wsp:val=&quot;00F75CFD&quot;/&gt;&lt;wsp:rsid wsp:val=&quot;00F801A1&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97A27&quot;/&gt;&lt;wsp:rsid wsp:val=&quot;00FA19AB&quot;/&gt;&lt;wsp:rsid wsp:val=&quot;00FA5B9A&quot;/&gt;&lt;wsp:rsid wsp:val=&quot;00FA7932&quot;/&gt;&lt;wsp:rsid wsp:val=&quot;00FB02B8&quot;/&gt;&lt;wsp:rsid wsp:val=&quot;00FB0F0E&quot;/&gt;&lt;wsp:rsid wsp:val=&quot;00FB3721&quot;/&gt;&lt;wsp:rsid wsp:val=&quot;00FB6FB5&quot;/&gt;&lt;wsp:rsid wsp:val=&quot;00FC3BCC&quot;/&gt;&lt;wsp:rsid wsp:val=&quot;00FC5F97&quot;/&gt;&lt;wsp:rsid wsp:val=&quot;00FC6459&quot;/&gt;&lt;wsp:rsid wsp:val=&quot;00FC6B71&quot;/&gt;&lt;wsp:rsid wsp:val=&quot;00FD04CC&quot;/&gt;&lt;wsp:rsid wsp:val=&quot;00FD43E6&quot;/&gt;&lt;wsp:rsid wsp:val=&quot;00FE1FEE&quot;/&gt;&lt;wsp:rsid wsp:val=&quot;00FE52B2&quot;/&gt;&lt;wsp:rsid wsp:val=&quot;00FE61FD&quot;/&gt;&lt;wsp:rsid wsp:val=&quot;00FE6A52&quot;/&gt;&lt;wsp:rsid wsp:val=&quot;00FF45F8&quot;/&gt;&lt;wsp:rsid wsp:val=&quot;00FF7450&quot;/&gt;&lt;/wsp:rsids&gt;&lt;/w:docPr&gt;&lt;w:body&gt;&lt;wx:sect&gt;&lt;w:p wsp:rsidR=&quot;00000000&quot; wsp:rsidRDefault=&quot;00D60F1D&quot; wsp:rsidP=&quot;00D60F1D&quot;&gt;&lt;m:oMathPara&gt;&lt;m:oMath&gt;&lt;m:r&gt;&lt;w:rPr&gt;&lt;w:rFonts w:ascii=&quot;Cambria Math&quot; w:h-ansi=&quot;Cambria Math&quot;/&gt;&lt;wx:font wx:val=&quot;Cambria Math&quot;/&gt;&lt;w:i/&gt;&lt;w:color w:val=&quot;000000&quot;/&gt;&lt;w:sz w:val=&quot;22&quot;/&gt;&lt;w:sz-cs w:val=&quot;22&quot;/&gt;&lt;w:lang w:fareast=&quot;KO&quot;/&gt;&lt;/w:rPr&gt;&lt;m:t&gt;C&lt;/m:t&gt;&lt;/m:r&gt;&lt;m:sSub&gt;&lt;m:sSubPr&gt;&lt;m:ctrlPr&gt;&lt;w:rPr&gt;&lt;w:rFonts w:ascii=&quot;Cambria Math&quot; w:fareast=&quot;MS PGothic&quot; w:h-ansi=&quot;Cambria Math&quot; w:cs=&quot;Calibri&quot;/&gt;&lt;wx:font wx:val=&quot;Cambria Math&quot;/&gt;&lt;w:i/&gt;&lt;w:i-cs/&gt;&lt;w:color w:val=&quot;000000&quot;/&gt;&lt;w:sz w:val=&quot;22&quot;/&gt;&lt;w:sz-cs w:val=&quot;22&quot;/&gt;&lt;/w:rPr&gt;&lt;/m:ctrlPr&gt;&lt;/m:sSubPr&gt;&lt;m:e&gt;&lt;m:r&gt;&lt;w:rPr&gt;&lt;w:rFonts w:ascii=&quot;Cambria Math&quot; w:h-ansi=&quot;Cambria Math&quot;/&gt;&lt;wx:font wx:val=&quot;Cambria Math&quot;/&gt;&lt;w:i/&gt;&lt;w:color w:val=&quot;000000&quot;/&gt;&lt;w:sz w:val=&quot;22&quot;/&gt;&lt;w:sz-cs w:val=&quot;22&quot;/&gt;&lt;w:lang w:fareast=&quot;KO&quot;/&gt;&lt;/w:rPr&gt;&lt;m:t&gt;W&lt;/m:t&gt;&lt;/m:r&gt;&lt;/m:e&gt;&lt;m:sub&gt;&lt;m:r&gt;&lt;w:rPr&gt;&lt;w:rFonts w:ascii=&quot;Cambria Math&quot; w:h-ansi=&quot;Cambria Math&quot;/&gt;&lt;wx:font wx:val=&quot;Cambria Math&quot;/&gt;&lt;w:i/&gt;&lt;w:color w:val=&quot;000000&quot;/&gt;&lt;w:sz w:val=&quot;22&quot;/&gt;&lt;w:sz-cs w:val=&quot;22&quot;/&gt;&lt;w:lang w:fareast=&quot;KO&quot;/&gt;&lt;/w:rPr&gt;&lt;m:t&gt;p&lt;/m:t&gt;&lt;/m:r&gt;&lt;/m:sub&gt;&lt;/m:sSub&gt;&lt;m:r&gt;&lt;w:rPr&gt;&lt;w:rFonts w:ascii=&quot;Cambria Math&quot; w:h-ansi=&quot;Cambria Math&quot;/&gt;&lt;wx:font wx:val=&quot;Cambria Math&quot;/&gt;&lt;w:i/&gt;&lt;w:color w:val=&quot;000000&quot;/&gt;&lt;w:sz w:val=&quot;22&quot;/&gt;&lt;w:sz-cs w:val=&quot;22&quot;/&gt;&lt;w:lang w:fareast=&quot;KO&quot;/&gt;&lt;/w:rPr&gt;&lt;m:t&gt;Â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E4E14">
              <w:rPr>
                <w:rFonts w:ascii="Times New Roman" w:hAnsi="Times New Roman"/>
                <w:color w:val="000000"/>
                <w:sz w:val="20"/>
                <w:szCs w:val="20"/>
                <w:lang w:eastAsia="ko-KR"/>
              </w:rPr>
              <w:fldChar w:fldCharType="end"/>
            </w:r>
            <w:r w:rsidRPr="006E4E14">
              <w:rPr>
                <w:rFonts w:ascii="Times New Roman" w:hAnsi="Times New Roman"/>
                <w:color w:val="000000"/>
                <w:sz w:val="20"/>
                <w:szCs w:val="20"/>
                <w:lang w:eastAsia="ko-KR"/>
              </w:rPr>
              <w:t>is increased.</w:t>
            </w:r>
          </w:p>
          <w:p w14:paraId="2B6C70F6" w14:textId="70A0CAC7" w:rsidR="006A2E7C" w:rsidRPr="00E006F7" w:rsidRDefault="0043094C" w:rsidP="00E006F7">
            <w:pPr>
              <w:pStyle w:val="ListParagraph"/>
              <w:numPr>
                <w:ilvl w:val="0"/>
                <w:numId w:val="27"/>
              </w:numPr>
              <w:autoSpaceDE w:val="0"/>
              <w:autoSpaceDN w:val="0"/>
              <w:spacing w:line="240" w:lineRule="auto"/>
              <w:ind w:left="720"/>
              <w:jc w:val="both"/>
              <w:rPr>
                <w:rFonts w:ascii="Times New Roman" w:eastAsia="Batang" w:hAnsi="Times New Roman" w:cs="Times New Roman"/>
                <w:szCs w:val="24"/>
                <w:lang w:val="en-GB" w:eastAsia="x-none"/>
              </w:rPr>
            </w:pPr>
            <w:r w:rsidRPr="006E4E14">
              <w:rPr>
                <w:rFonts w:ascii="Times New Roman" w:hAnsi="Times New Roman"/>
                <w:color w:val="000000"/>
                <w:sz w:val="20"/>
                <w:szCs w:val="20"/>
                <w:lang w:eastAsia="ko-KR"/>
              </w:rPr>
              <w:t>FFS the case when UE is operating with different SL-HARQ feedback schemes (e.g., UE has concurrent broadcast transmission + unicast with SL-HARQ enabled, or GC option 1 + GC option 2, etc in the SL reference duration).</w:t>
            </w:r>
          </w:p>
          <w:p w14:paraId="7A3659DE" w14:textId="77777777" w:rsidR="006A2E7C" w:rsidRPr="00B10A04" w:rsidRDefault="006A2E7C" w:rsidP="006A2E7C">
            <w:pPr>
              <w:autoSpaceDE w:val="0"/>
              <w:autoSpaceDN w:val="0"/>
              <w:spacing w:before="120"/>
              <w:jc w:val="both"/>
              <w:rPr>
                <w:rFonts w:ascii="Times New Roman" w:eastAsia="Batang" w:hAnsi="Times New Roman" w:cs="Times New Roman"/>
                <w:sz w:val="20"/>
                <w:szCs w:val="20"/>
                <w:lang w:val="en-GB"/>
              </w:rPr>
            </w:pPr>
            <w:r w:rsidRPr="00B10A04">
              <w:rPr>
                <w:rFonts w:ascii="Times New Roman" w:eastAsia="Batang" w:hAnsi="Times New Roman" w:cs="Times New Roman"/>
                <w:b/>
                <w:bCs/>
                <w:sz w:val="20"/>
                <w:szCs w:val="20"/>
                <w:highlight w:val="green"/>
                <w:lang w:val="en-GB"/>
              </w:rPr>
              <w:t>Agreement</w:t>
            </w:r>
          </w:p>
          <w:p w14:paraId="122284F3" w14:textId="77777777" w:rsidR="006A2E7C" w:rsidRPr="00B10A04" w:rsidRDefault="006A2E7C" w:rsidP="006A2E7C">
            <w:pPr>
              <w:numPr>
                <w:ilvl w:val="0"/>
                <w:numId w:val="27"/>
              </w:numPr>
              <w:autoSpaceDE w:val="0"/>
              <w:autoSpaceDN w:val="0"/>
              <w:spacing w:after="0" w:line="240" w:lineRule="auto"/>
              <w:ind w:left="426"/>
              <w:jc w:val="both"/>
              <w:rPr>
                <w:rFonts w:ascii="Times New Roman" w:eastAsia="Batang" w:hAnsi="Times New Roman" w:cs="Times New Roman"/>
                <w:bCs/>
                <w:iCs/>
                <w:sz w:val="20"/>
                <w:szCs w:val="20"/>
                <w:u w:val="single"/>
                <w:lang w:val="en-GB" w:eastAsia="x-none"/>
              </w:rPr>
            </w:pPr>
            <w:r w:rsidRPr="00B10A04">
              <w:rPr>
                <w:rFonts w:ascii="Times New Roman" w:eastAsia="Batang" w:hAnsi="Times New Roman" w:cs="Times New Roman"/>
                <w:bCs/>
                <w:iCs/>
                <w:sz w:val="20"/>
                <w:szCs w:val="20"/>
                <w:lang w:eastAsia="ko-KR"/>
              </w:rPr>
              <w:t xml:space="preserve">If </w:t>
            </w:r>
            <m:oMath>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r>
                    <w:rPr>
                      <w:rFonts w:ascii="Cambria Math" w:hAnsi="Cambria Math" w:cs="Times New Roman"/>
                      <w:sz w:val="20"/>
                      <w:szCs w:val="20"/>
                      <w:lang w:eastAsia="ko-KR"/>
                    </w:rPr>
                    <m:t>p</m:t>
                  </m:r>
                </m:sub>
              </m:sSub>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func>
                    <m:funcPr>
                      <m:ctrlPr>
                        <w:rPr>
                          <w:rFonts w:ascii="Cambria Math" w:hAnsi="Cambria Math" w:cs="Times New Roman"/>
                          <w:bCs/>
                          <w:i/>
                          <w:sz w:val="20"/>
                          <w:szCs w:val="20"/>
                          <w:lang w:eastAsia="ko-KR"/>
                        </w:rPr>
                      </m:ctrlPr>
                    </m:funcPr>
                    <m:fName>
                      <m:r>
                        <w:rPr>
                          <w:rFonts w:ascii="Cambria Math" w:hAnsi="Cambria Math" w:cs="Times New Roman"/>
                          <w:sz w:val="20"/>
                          <w:szCs w:val="20"/>
                          <w:lang w:eastAsia="ko-KR"/>
                        </w:rPr>
                        <m:t>max,</m:t>
                      </m:r>
                    </m:fName>
                    <m:e>
                      <m:r>
                        <w:rPr>
                          <w:rFonts w:ascii="Cambria Math" w:hAnsi="Cambria Math" w:cs="Times New Roman"/>
                          <w:sz w:val="20"/>
                          <w:szCs w:val="20"/>
                          <w:lang w:eastAsia="ko-KR"/>
                        </w:rPr>
                        <m:t>p</m:t>
                      </m:r>
                    </m:e>
                  </m:func>
                </m:sub>
              </m:sSub>
            </m:oMath>
            <w:r w:rsidRPr="00B10A04">
              <w:rPr>
                <w:rFonts w:ascii="Times New Roman" w:eastAsia="Batang" w:hAnsi="Times New Roman" w:cs="Times New Roman"/>
                <w:bCs/>
                <w:iCs/>
                <w:sz w:val="20"/>
                <w:szCs w:val="20"/>
                <w:lang w:eastAsia="ko-KR"/>
              </w:rPr>
              <w:t xml:space="preserve">, the next higher allowed value for adjusting </w:t>
            </w:r>
            <m:oMath>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r>
                    <w:rPr>
                      <w:rFonts w:ascii="Cambria Math" w:hAnsi="Cambria Math" w:cs="Times New Roman"/>
                      <w:sz w:val="20"/>
                      <w:szCs w:val="20"/>
                      <w:lang w:eastAsia="ko-KR"/>
                    </w:rPr>
                    <m:t>p</m:t>
                  </m:r>
                </m:sub>
              </m:sSub>
            </m:oMath>
            <w:r w:rsidRPr="00B10A04">
              <w:rPr>
                <w:rFonts w:ascii="Times New Roman" w:eastAsia="Batang" w:hAnsi="Times New Roman" w:cs="Times New Roman"/>
                <w:bCs/>
                <w:iCs/>
                <w:sz w:val="20"/>
                <w:szCs w:val="20"/>
                <w:lang w:eastAsia="ko-KR"/>
              </w:rPr>
              <w:t xml:space="preserve"> is </w:t>
            </w:r>
            <m:oMath>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func>
                    <m:funcPr>
                      <m:ctrlPr>
                        <w:rPr>
                          <w:rFonts w:ascii="Cambria Math" w:hAnsi="Cambria Math" w:cs="Times New Roman"/>
                          <w:bCs/>
                          <w:i/>
                          <w:sz w:val="20"/>
                          <w:szCs w:val="20"/>
                          <w:lang w:eastAsia="ko-KR"/>
                        </w:rPr>
                      </m:ctrlPr>
                    </m:funcPr>
                    <m:fName>
                      <m:r>
                        <w:rPr>
                          <w:rFonts w:ascii="Cambria Math" w:hAnsi="Cambria Math" w:cs="Times New Roman"/>
                          <w:sz w:val="20"/>
                          <w:szCs w:val="20"/>
                          <w:lang w:eastAsia="ko-KR"/>
                        </w:rPr>
                        <m:t>max,</m:t>
                      </m:r>
                    </m:fName>
                    <m:e>
                      <m:r>
                        <w:rPr>
                          <w:rFonts w:ascii="Cambria Math" w:hAnsi="Cambria Math" w:cs="Times New Roman"/>
                          <w:sz w:val="20"/>
                          <w:szCs w:val="20"/>
                          <w:lang w:eastAsia="ko-KR"/>
                        </w:rPr>
                        <m:t>p</m:t>
                      </m:r>
                    </m:e>
                  </m:func>
                </m:sub>
              </m:sSub>
            </m:oMath>
            <w:r w:rsidRPr="00B10A04">
              <w:rPr>
                <w:rFonts w:ascii="Times New Roman" w:eastAsia="Batang" w:hAnsi="Times New Roman" w:cs="Times New Roman"/>
                <w:bCs/>
                <w:iCs/>
                <w:sz w:val="20"/>
                <w:szCs w:val="20"/>
                <w:lang w:eastAsia="ko-KR"/>
              </w:rPr>
              <w:t>.</w:t>
            </w:r>
          </w:p>
          <w:p w14:paraId="04C19B9B" w14:textId="5EBC5746" w:rsidR="006A2E7C" w:rsidRPr="00E006F7" w:rsidRDefault="006A2E7C" w:rsidP="00E006F7">
            <w:pPr>
              <w:numPr>
                <w:ilvl w:val="0"/>
                <w:numId w:val="27"/>
              </w:numPr>
              <w:autoSpaceDE w:val="0"/>
              <w:autoSpaceDN w:val="0"/>
              <w:spacing w:after="0" w:line="240" w:lineRule="auto"/>
              <w:ind w:left="426"/>
              <w:jc w:val="both"/>
              <w:rPr>
                <w:rFonts w:ascii="Times New Roman" w:eastAsia="Batang" w:hAnsi="Times New Roman" w:cs="Times New Roman"/>
                <w:sz w:val="20"/>
                <w:szCs w:val="20"/>
                <w:u w:val="single"/>
                <w:lang w:val="en-GB" w:eastAsia="x-none"/>
              </w:rPr>
            </w:pPr>
            <w:r w:rsidRPr="00B10A04">
              <w:rPr>
                <w:rFonts w:ascii="Times New Roman" w:eastAsia="Batang" w:hAnsi="Times New Roman" w:cs="Times New Roman"/>
                <w:bCs/>
                <w:iCs/>
                <w:sz w:val="20"/>
                <w:szCs w:val="20"/>
                <w:lang w:eastAsia="ko-KR"/>
              </w:rPr>
              <w:t xml:space="preserve">If the </w:t>
            </w:r>
            <m:oMath>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r>
                    <w:rPr>
                      <w:rFonts w:ascii="Cambria Math" w:hAnsi="Cambria Math" w:cs="Times New Roman"/>
                      <w:sz w:val="20"/>
                      <w:szCs w:val="20"/>
                      <w:lang w:eastAsia="ko-KR"/>
                    </w:rPr>
                    <m:t>p</m:t>
                  </m:r>
                </m:sub>
              </m:sSub>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func>
                    <m:funcPr>
                      <m:ctrlPr>
                        <w:rPr>
                          <w:rFonts w:ascii="Cambria Math" w:hAnsi="Cambria Math" w:cs="Times New Roman"/>
                          <w:bCs/>
                          <w:i/>
                          <w:sz w:val="20"/>
                          <w:szCs w:val="20"/>
                          <w:lang w:eastAsia="ko-KR"/>
                        </w:rPr>
                      </m:ctrlPr>
                    </m:funcPr>
                    <m:fName>
                      <m:r>
                        <w:rPr>
                          <w:rFonts w:ascii="Cambria Math" w:hAnsi="Cambria Math" w:cs="Times New Roman"/>
                          <w:sz w:val="20"/>
                          <w:szCs w:val="20"/>
                          <w:lang w:eastAsia="ko-KR"/>
                        </w:rPr>
                        <m:t>max,</m:t>
                      </m:r>
                    </m:fName>
                    <m:e>
                      <m:r>
                        <w:rPr>
                          <w:rFonts w:ascii="Cambria Math" w:hAnsi="Cambria Math" w:cs="Times New Roman"/>
                          <w:sz w:val="20"/>
                          <w:szCs w:val="20"/>
                          <w:lang w:eastAsia="ko-KR"/>
                        </w:rPr>
                        <m:t>p</m:t>
                      </m:r>
                    </m:e>
                  </m:func>
                </m:sub>
              </m:sSub>
            </m:oMath>
            <w:r w:rsidRPr="00B10A04">
              <w:rPr>
                <w:rFonts w:ascii="Times New Roman" w:eastAsia="Batang" w:hAnsi="Times New Roman" w:cs="Times New Roman"/>
                <w:bCs/>
                <w:iCs/>
                <w:sz w:val="20"/>
                <w:szCs w:val="20"/>
                <w:lang w:eastAsia="ko-KR"/>
              </w:rPr>
              <w:t xml:space="preserve"> is consecutively used </w:t>
            </w:r>
            <m:oMath>
              <m:r>
                <w:rPr>
                  <w:rFonts w:ascii="Cambria Math" w:hAnsi="Cambria Math" w:cs="Times New Roman"/>
                  <w:sz w:val="20"/>
                  <w:szCs w:val="20"/>
                  <w:lang w:eastAsia="ko-KR"/>
                </w:rPr>
                <m:t>K</m:t>
              </m:r>
            </m:oMath>
            <w:r w:rsidRPr="00B10A04">
              <w:rPr>
                <w:rFonts w:ascii="Times New Roman" w:eastAsia="Batang" w:hAnsi="Times New Roman" w:cs="Times New Roman"/>
                <w:bCs/>
                <w:iCs/>
                <w:sz w:val="20"/>
                <w:szCs w:val="20"/>
                <w:lang w:eastAsia="ko-KR"/>
              </w:rPr>
              <w:t xml:space="preserve"> times for generation of </w:t>
            </w:r>
            <m:oMath>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init</m:t>
                  </m:r>
                </m:sub>
              </m:sSub>
            </m:oMath>
            <w:r w:rsidRPr="00B10A04">
              <w:rPr>
                <w:rFonts w:ascii="Times New Roman" w:eastAsia="Batang" w:hAnsi="Times New Roman" w:cs="Times New Roman"/>
                <w:bCs/>
                <w:iCs/>
                <w:sz w:val="20"/>
                <w:szCs w:val="20"/>
                <w:lang w:eastAsia="ko-KR"/>
              </w:rPr>
              <w:t xml:space="preserve">, </w:t>
            </w:r>
            <m:oMath>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r>
                    <w:rPr>
                      <w:rFonts w:ascii="Cambria Math" w:hAnsi="Cambria Math" w:cs="Times New Roman"/>
                      <w:sz w:val="20"/>
                      <w:szCs w:val="20"/>
                      <w:lang w:eastAsia="ko-KR"/>
                    </w:rPr>
                    <m:t>p</m:t>
                  </m:r>
                </m:sub>
              </m:sSub>
            </m:oMath>
            <w:r w:rsidRPr="00B10A04">
              <w:rPr>
                <w:rFonts w:ascii="Times New Roman" w:eastAsia="Batang" w:hAnsi="Times New Roman" w:cs="Times New Roman"/>
                <w:bCs/>
                <w:iCs/>
                <w:sz w:val="20"/>
                <w:szCs w:val="20"/>
                <w:lang w:eastAsia="ko-KR"/>
              </w:rPr>
              <w:t xml:space="preserve"> is reset to </w:t>
            </w:r>
            <m:oMath>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func>
                    <m:funcPr>
                      <m:ctrlPr>
                        <w:rPr>
                          <w:rFonts w:ascii="Cambria Math" w:hAnsi="Cambria Math" w:cs="Times New Roman"/>
                          <w:bCs/>
                          <w:i/>
                          <w:sz w:val="20"/>
                          <w:szCs w:val="20"/>
                          <w:lang w:eastAsia="ko-KR"/>
                        </w:rPr>
                      </m:ctrlPr>
                    </m:funcPr>
                    <m:fName>
                      <m:r>
                        <w:rPr>
                          <w:rFonts w:ascii="Cambria Math" w:hAnsi="Cambria Math" w:cs="Times New Roman"/>
                          <w:sz w:val="20"/>
                          <w:szCs w:val="20"/>
                          <w:lang w:eastAsia="ko-KR"/>
                        </w:rPr>
                        <m:t>min,</m:t>
                      </m:r>
                    </m:fName>
                    <m:e>
                      <m:r>
                        <w:rPr>
                          <w:rFonts w:ascii="Cambria Math" w:hAnsi="Cambria Math" w:cs="Times New Roman"/>
                          <w:sz w:val="20"/>
                          <w:szCs w:val="20"/>
                          <w:lang w:eastAsia="ko-KR"/>
                        </w:rPr>
                        <m:t>p</m:t>
                      </m:r>
                    </m:e>
                  </m:func>
                </m:sub>
              </m:sSub>
            </m:oMath>
            <w:r w:rsidRPr="00B10A04">
              <w:rPr>
                <w:rFonts w:ascii="Times New Roman" w:eastAsia="Batang" w:hAnsi="Times New Roman" w:cs="Times New Roman"/>
                <w:bCs/>
                <w:iCs/>
                <w:sz w:val="20"/>
                <w:szCs w:val="20"/>
                <w:lang w:eastAsia="ko-KR"/>
              </w:rPr>
              <w:t xml:space="preserve"> only for that priority class </w:t>
            </w:r>
            <m:oMath>
              <m:r>
                <m:rPr>
                  <m:sty m:val="p"/>
                </m:rPr>
                <w:rPr>
                  <w:rFonts w:ascii="Cambria Math" w:hAnsi="Cambria Math" w:cs="Times New Roman"/>
                  <w:sz w:val="20"/>
                  <w:szCs w:val="20"/>
                  <w:lang w:eastAsia="ko-KR"/>
                </w:rPr>
                <m:t>p</m:t>
              </m:r>
            </m:oMath>
            <w:r w:rsidRPr="00B10A04">
              <w:rPr>
                <w:rFonts w:ascii="Times New Roman" w:eastAsia="Batang" w:hAnsi="Times New Roman" w:cs="Times New Roman"/>
                <w:bCs/>
                <w:iCs/>
                <w:sz w:val="20"/>
                <w:szCs w:val="20"/>
                <w:lang w:eastAsia="ko-KR"/>
              </w:rPr>
              <w:t xml:space="preserve"> for which </w:t>
            </w:r>
            <m:oMath>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r>
                    <w:rPr>
                      <w:rFonts w:ascii="Cambria Math" w:hAnsi="Cambria Math" w:cs="Times New Roman"/>
                      <w:sz w:val="20"/>
                      <w:szCs w:val="20"/>
                      <w:lang w:eastAsia="ko-KR"/>
                    </w:rPr>
                    <m:t>p</m:t>
                  </m:r>
                </m:sub>
              </m:sSub>
              <m:r>
                <w:rPr>
                  <w:rFonts w:ascii="Cambria Math" w:hAnsi="Cambria Math" w:cs="Times New Roman"/>
                  <w:sz w:val="20"/>
                  <w:szCs w:val="20"/>
                  <w:lang w:eastAsia="ko-KR"/>
                </w:rPr>
                <m:t>=C</m:t>
              </m:r>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W</m:t>
                  </m:r>
                </m:e>
                <m:sub>
                  <m:func>
                    <m:funcPr>
                      <m:ctrlPr>
                        <w:rPr>
                          <w:rFonts w:ascii="Cambria Math" w:hAnsi="Cambria Math" w:cs="Times New Roman"/>
                          <w:bCs/>
                          <w:i/>
                          <w:sz w:val="20"/>
                          <w:szCs w:val="20"/>
                          <w:lang w:eastAsia="ko-KR"/>
                        </w:rPr>
                      </m:ctrlPr>
                    </m:funcPr>
                    <m:fName>
                      <m:r>
                        <w:rPr>
                          <w:rFonts w:ascii="Cambria Math" w:hAnsi="Cambria Math" w:cs="Times New Roman"/>
                          <w:sz w:val="20"/>
                          <w:szCs w:val="20"/>
                          <w:lang w:eastAsia="ko-KR"/>
                        </w:rPr>
                        <m:t>max,</m:t>
                      </m:r>
                    </m:fName>
                    <m:e>
                      <m:r>
                        <w:rPr>
                          <w:rFonts w:ascii="Cambria Math" w:hAnsi="Cambria Math" w:cs="Times New Roman"/>
                          <w:sz w:val="20"/>
                          <w:szCs w:val="20"/>
                          <w:lang w:eastAsia="ko-KR"/>
                        </w:rPr>
                        <m:t>p</m:t>
                      </m:r>
                    </m:e>
                  </m:func>
                </m:sub>
              </m:sSub>
            </m:oMath>
            <w:r w:rsidRPr="00B10A04">
              <w:rPr>
                <w:rFonts w:ascii="Times New Roman" w:eastAsia="Batang" w:hAnsi="Times New Roman" w:cs="Times New Roman"/>
                <w:bCs/>
                <w:iCs/>
                <w:sz w:val="20"/>
                <w:szCs w:val="20"/>
                <w:lang w:eastAsia="ko-KR"/>
              </w:rPr>
              <w:t xml:space="preserve"> is consecutively used </w:t>
            </w:r>
            <m:oMath>
              <m:r>
                <w:rPr>
                  <w:rFonts w:ascii="Cambria Math" w:hAnsi="Cambria Math" w:cs="Times New Roman"/>
                  <w:sz w:val="20"/>
                  <w:szCs w:val="20"/>
                  <w:lang w:eastAsia="ko-KR"/>
                </w:rPr>
                <m:t>K</m:t>
              </m:r>
            </m:oMath>
            <w:r w:rsidRPr="00B10A04">
              <w:rPr>
                <w:rFonts w:ascii="Times New Roman" w:eastAsia="Batang" w:hAnsi="Times New Roman" w:cs="Times New Roman"/>
                <w:bCs/>
                <w:iCs/>
                <w:sz w:val="20"/>
                <w:szCs w:val="20"/>
                <w:lang w:eastAsia="ko-KR"/>
              </w:rPr>
              <w:t xml:space="preserve"> times for generation of </w:t>
            </w:r>
            <m:oMath>
              <m:sSub>
                <m:sSubPr>
                  <m:ctrlPr>
                    <w:rPr>
                      <w:rFonts w:ascii="Cambria Math" w:hAnsi="Cambria Math" w:cs="Times New Roman"/>
                      <w:bCs/>
                      <w:i/>
                      <w:sz w:val="20"/>
                      <w:szCs w:val="20"/>
                      <w:lang w:eastAsia="ko-KR"/>
                    </w:rPr>
                  </m:ctrlPr>
                </m:sSubPr>
                <m:e>
                  <m:r>
                    <w:rPr>
                      <w:rFonts w:ascii="Cambria Math" w:hAnsi="Cambria Math" w:cs="Times New Roman"/>
                      <w:sz w:val="20"/>
                      <w:szCs w:val="20"/>
                      <w:lang w:eastAsia="ko-KR"/>
                    </w:rPr>
                    <m:t>N</m:t>
                  </m:r>
                </m:e>
                <m:sub>
                  <m:r>
                    <w:rPr>
                      <w:rFonts w:ascii="Cambria Math" w:hAnsi="Cambria Math" w:cs="Times New Roman"/>
                      <w:sz w:val="20"/>
                      <w:szCs w:val="20"/>
                      <w:lang w:eastAsia="ko-KR"/>
                    </w:rPr>
                    <m:t>init</m:t>
                  </m:r>
                </m:sub>
              </m:sSub>
            </m:oMath>
            <w:r w:rsidRPr="00B10A04">
              <w:rPr>
                <w:rFonts w:ascii="Times New Roman" w:eastAsia="Batang" w:hAnsi="Times New Roman" w:cs="Times New Roman"/>
                <w:bCs/>
                <w:iCs/>
                <w:sz w:val="20"/>
                <w:szCs w:val="20"/>
                <w:lang w:eastAsia="ko-KR"/>
              </w:rPr>
              <w:t xml:space="preserve">. </w:t>
            </w:r>
            <m:oMath>
              <m:r>
                <w:rPr>
                  <w:rFonts w:ascii="Cambria Math" w:hAnsi="Cambria Math" w:cs="Times New Roman"/>
                  <w:sz w:val="20"/>
                  <w:szCs w:val="20"/>
                  <w:lang w:eastAsia="ko-KR"/>
                </w:rPr>
                <m:t>K</m:t>
              </m:r>
            </m:oMath>
            <w:r w:rsidRPr="00B10A04">
              <w:rPr>
                <w:rFonts w:ascii="Times New Roman" w:eastAsia="Batang" w:hAnsi="Times New Roman" w:cs="Times New Roman"/>
                <w:bCs/>
                <w:iCs/>
                <w:sz w:val="20"/>
                <w:szCs w:val="20"/>
                <w:lang w:eastAsia="ko-KR"/>
              </w:rPr>
              <w:t xml:space="preserve"> is selected by UE from the set of values {1, 2, …,8} for each priority class </w:t>
            </w:r>
            <m:oMath>
              <m:r>
                <w:rPr>
                  <w:rFonts w:ascii="Cambria Math" w:hAnsi="Cambria Math" w:cs="Times New Roman"/>
                  <w:sz w:val="20"/>
                  <w:szCs w:val="20"/>
                  <w:lang w:eastAsia="ko-KR"/>
                </w:rPr>
                <m:t>p∈</m:t>
              </m:r>
              <m:d>
                <m:dPr>
                  <m:begChr m:val="{"/>
                  <m:endChr m:val="}"/>
                  <m:ctrlPr>
                    <w:rPr>
                      <w:rFonts w:ascii="Cambria Math" w:hAnsi="Cambria Math" w:cs="Times New Roman"/>
                      <w:bCs/>
                      <w:i/>
                      <w:sz w:val="20"/>
                      <w:szCs w:val="20"/>
                      <w:lang w:eastAsia="ko-KR"/>
                    </w:rPr>
                  </m:ctrlPr>
                </m:dPr>
                <m:e>
                  <m:r>
                    <w:rPr>
                      <w:rFonts w:ascii="Cambria Math" w:hAnsi="Cambria Math" w:cs="Times New Roman"/>
                      <w:sz w:val="20"/>
                      <w:szCs w:val="20"/>
                      <w:lang w:eastAsia="ko-KR"/>
                    </w:rPr>
                    <m:t>1,2,3,4</m:t>
                  </m:r>
                </m:e>
              </m:d>
            </m:oMath>
            <w:r w:rsidRPr="00B10A04">
              <w:rPr>
                <w:rFonts w:ascii="Times New Roman" w:eastAsia="Batang" w:hAnsi="Times New Roman" w:cs="Times New Roman"/>
                <w:bCs/>
                <w:iCs/>
                <w:sz w:val="20"/>
                <w:szCs w:val="20"/>
                <w:lang w:eastAsia="ko-KR"/>
              </w:rPr>
              <w:t>.</w:t>
            </w:r>
          </w:p>
        </w:tc>
      </w:tr>
    </w:tbl>
    <w:p w14:paraId="0E1E7E4E" w14:textId="6D494793" w:rsidR="0094728C" w:rsidRDefault="0094728C" w:rsidP="0094728C">
      <w:pPr>
        <w:spacing w:before="240"/>
        <w:rPr>
          <w:lang w:eastAsia="ja-JP"/>
        </w:rPr>
      </w:pPr>
      <w:r>
        <w:rPr>
          <w:lang w:eastAsia="ja-JP"/>
        </w:rPr>
        <w:lastRenderedPageBreak/>
        <w:t xml:space="preserve">We </w:t>
      </w:r>
      <w:r w:rsidR="002668EA">
        <w:rPr>
          <w:lang w:eastAsia="ja-JP"/>
        </w:rPr>
        <w:t>first</w:t>
      </w:r>
      <w:r>
        <w:rPr>
          <w:lang w:eastAsia="ja-JP"/>
        </w:rPr>
        <w:t xml:space="preserve"> discuss the adaptation of the CW for different cases: MCSt, GC-2, GC-1, BC</w:t>
      </w:r>
      <w:r w:rsidR="00A72BB0">
        <w:rPr>
          <w:lang w:eastAsia="ja-JP"/>
        </w:rPr>
        <w:t xml:space="preserve"> and disabled FB.</w:t>
      </w:r>
      <w:r w:rsidR="006C34B6">
        <w:rPr>
          <w:lang w:eastAsia="ja-JP"/>
        </w:rPr>
        <w:t xml:space="preserve"> </w:t>
      </w:r>
      <w:r w:rsidR="003E0500">
        <w:rPr>
          <w:lang w:eastAsia="ja-JP"/>
        </w:rPr>
        <w:t>After</w:t>
      </w:r>
      <w:r w:rsidR="0080592A">
        <w:rPr>
          <w:lang w:eastAsia="ja-JP"/>
        </w:rPr>
        <w:t xml:space="preserve"> this, we </w:t>
      </w:r>
      <w:r w:rsidR="00FB0D32">
        <w:rPr>
          <w:lang w:eastAsia="ja-JP"/>
        </w:rPr>
        <w:t>tackle the issue of defining the ‘reference duration’</w:t>
      </w:r>
      <w:r w:rsidR="00A72BB0">
        <w:rPr>
          <w:lang w:eastAsia="ja-JP"/>
        </w:rPr>
        <w:t>.</w:t>
      </w:r>
    </w:p>
    <w:p w14:paraId="50F6DDC1" w14:textId="0874EFB3" w:rsidR="00C25F8C" w:rsidRDefault="00A0746B" w:rsidP="0032676F">
      <w:pPr>
        <w:jc w:val="both"/>
        <w:rPr>
          <w:lang w:eastAsia="ja-JP"/>
        </w:rPr>
      </w:pPr>
      <w:r>
        <w:rPr>
          <w:lang w:eastAsia="ja-JP"/>
        </w:rPr>
        <w:t xml:space="preserve">When </w:t>
      </w:r>
      <w:r w:rsidR="00505B73">
        <w:rPr>
          <w:lang w:eastAsia="ja-JP"/>
        </w:rPr>
        <w:t>MCSt</w:t>
      </w:r>
      <w:r>
        <w:rPr>
          <w:lang w:eastAsia="ja-JP"/>
        </w:rPr>
        <w:t xml:space="preserve"> is used, </w:t>
      </w:r>
      <w:r w:rsidR="00505B73">
        <w:rPr>
          <w:lang w:eastAsia="ja-JP"/>
        </w:rPr>
        <w:t xml:space="preserve">multiple TBs may be transmitted </w:t>
      </w:r>
      <w:r w:rsidR="009F5BA6">
        <w:rPr>
          <w:lang w:eastAsia="ja-JP"/>
        </w:rPr>
        <w:t>within a ‘reference duration’</w:t>
      </w:r>
      <w:r w:rsidR="00505B73">
        <w:rPr>
          <w:lang w:eastAsia="ja-JP"/>
        </w:rPr>
        <w:t xml:space="preserve">. </w:t>
      </w:r>
      <w:r w:rsidR="00596EFD">
        <w:rPr>
          <w:lang w:eastAsia="ja-JP"/>
        </w:rPr>
        <w:t>For each of them a different</w:t>
      </w:r>
      <w:r w:rsidR="00232528">
        <w:rPr>
          <w:lang w:eastAsia="ja-JP"/>
        </w:rPr>
        <w:t xml:space="preserve"> SL HAR</w:t>
      </w:r>
      <w:r w:rsidR="00D60611">
        <w:rPr>
          <w:lang w:eastAsia="ja-JP"/>
        </w:rPr>
        <w:t xml:space="preserve">Q </w:t>
      </w:r>
      <w:r w:rsidR="00596EFD">
        <w:rPr>
          <w:lang w:eastAsia="ja-JP"/>
        </w:rPr>
        <w:t>FB bit is expected.</w:t>
      </w:r>
      <w:r w:rsidR="00D84A83">
        <w:rPr>
          <w:lang w:eastAsia="ja-JP"/>
        </w:rPr>
        <w:t xml:space="preserve"> For the purpose of CW adaptation, our view is that </w:t>
      </w:r>
      <w:r w:rsidR="00E05000">
        <w:rPr>
          <w:lang w:eastAsia="ja-JP"/>
        </w:rPr>
        <w:t xml:space="preserve">a single </w:t>
      </w:r>
      <w:r w:rsidR="00C25F8C">
        <w:rPr>
          <w:lang w:eastAsia="ja-JP"/>
        </w:rPr>
        <w:t>ACK is enough to reset the CW. In our view, this case is already covered in TS 37.213 (in yellow):</w:t>
      </w:r>
    </w:p>
    <w:tbl>
      <w:tblPr>
        <w:tblStyle w:val="TableGrid"/>
        <w:tblW w:w="0" w:type="auto"/>
        <w:tblLook w:val="04A0" w:firstRow="1" w:lastRow="0" w:firstColumn="1" w:lastColumn="0" w:noHBand="0" w:noVBand="1"/>
      </w:tblPr>
      <w:tblGrid>
        <w:gridCol w:w="9629"/>
      </w:tblGrid>
      <w:tr w:rsidR="00C25F8C" w14:paraId="3FAA98F8" w14:textId="77777777" w:rsidTr="00091483">
        <w:tc>
          <w:tcPr>
            <w:tcW w:w="9629" w:type="dxa"/>
          </w:tcPr>
          <w:p w14:paraId="29A621E9" w14:textId="77777777" w:rsidR="00C25F8C" w:rsidRPr="006E4E14" w:rsidRDefault="00C25F8C" w:rsidP="00091483">
            <w:pPr>
              <w:spacing w:after="180" w:line="240" w:lineRule="auto"/>
              <w:rPr>
                <w:rFonts w:ascii="Times New Roman" w:eastAsia="Times New Roman" w:hAnsi="Times New Roman" w:cs="Times New Roman"/>
                <w:sz w:val="18"/>
                <w:szCs w:val="16"/>
              </w:rPr>
            </w:pPr>
            <w:r w:rsidRPr="006E4E14">
              <w:rPr>
                <w:rFonts w:ascii="Times New Roman" w:eastAsia="Times New Roman" w:hAnsi="Times New Roman" w:cs="Times New Roman"/>
                <w:sz w:val="20"/>
                <w:szCs w:val="16"/>
              </w:rPr>
              <w:t xml:space="preserve">If a gNB transmits transmissions including PDSCH that are associated with channel access priority class </w:t>
            </w:r>
            <m:oMath>
              <m:r>
                <w:rPr>
                  <w:rFonts w:ascii="Cambria Math" w:hAnsi="Cambria Math"/>
                  <w:sz w:val="20"/>
                  <w:szCs w:val="18"/>
                </w:rPr>
                <m:t>p</m:t>
              </m:r>
            </m:oMath>
            <w:r w:rsidRPr="006E4E14">
              <w:rPr>
                <w:rFonts w:ascii="Times New Roman" w:eastAsia="Times New Roman" w:hAnsi="Times New Roman" w:cs="Times New Roman"/>
                <w:sz w:val="20"/>
                <w:szCs w:val="16"/>
              </w:rPr>
              <w:t xml:space="preserve"> on a </w:t>
            </w:r>
            <w:r w:rsidRPr="006E4E14">
              <w:rPr>
                <w:rFonts w:ascii="Times New Roman" w:eastAsia="Times New Roman" w:hAnsi="Times New Roman" w:cs="Times New Roman"/>
                <w:sz w:val="20"/>
                <w:szCs w:val="16"/>
                <w:lang w:eastAsia="x-none"/>
              </w:rPr>
              <w:t>channel</w:t>
            </w:r>
            <w:r w:rsidRPr="006E4E14">
              <w:rPr>
                <w:rFonts w:ascii="Times New Roman" w:eastAsia="Times New Roman" w:hAnsi="Times New Roman" w:cs="Times New Roman"/>
                <w:sz w:val="20"/>
                <w:szCs w:val="16"/>
              </w:rPr>
              <w:t xml:space="preserve">, the gNB maintains the contention window value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rPr>
              <w:t xml:space="preserve"> and adjusts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rPr>
              <w:t xml:space="preserve"> </w:t>
            </w:r>
            <w:r w:rsidRPr="006E4E14">
              <w:rPr>
                <w:rFonts w:ascii="Times New Roman" w:eastAsia="Malgun Gothic" w:hAnsi="Times New Roman" w:cs="Times New Roman"/>
                <w:sz w:val="20"/>
                <w:szCs w:val="16"/>
                <w:lang w:eastAsia="ko-KR"/>
              </w:rPr>
              <w:t xml:space="preserve">before step 1 of the procedure described in clause 4.1.1 </w:t>
            </w:r>
            <w:r w:rsidRPr="006E4E14">
              <w:rPr>
                <w:rFonts w:ascii="Times New Roman" w:eastAsia="Times New Roman" w:hAnsi="Times New Roman" w:cs="Times New Roman"/>
                <w:sz w:val="20"/>
                <w:szCs w:val="16"/>
              </w:rPr>
              <w:t>for those transmissions using the following steps:</w:t>
            </w:r>
          </w:p>
          <w:p w14:paraId="656FB797" w14:textId="77777777" w:rsidR="00C25F8C" w:rsidRPr="006E4E14" w:rsidRDefault="00C25F8C" w:rsidP="00091483">
            <w:pPr>
              <w:spacing w:after="180" w:line="240" w:lineRule="auto"/>
              <w:ind w:left="568" w:hanging="284"/>
              <w:rPr>
                <w:rFonts w:ascii="Times New Roman" w:eastAsia="Times New Roman" w:hAnsi="Times New Roman" w:cs="Times New Roman"/>
                <w:sz w:val="18"/>
                <w:szCs w:val="16"/>
              </w:rPr>
            </w:pPr>
            <w:r w:rsidRPr="006E4E14">
              <w:rPr>
                <w:rFonts w:ascii="Times New Roman" w:eastAsia="Times New Roman" w:hAnsi="Times New Roman" w:cs="Times New Roman"/>
                <w:sz w:val="20"/>
                <w:szCs w:val="16"/>
                <w:lang w:val="en-GB"/>
              </w:rPr>
              <w:t>1)</w:t>
            </w:r>
            <w:r w:rsidRPr="006E4E14">
              <w:rPr>
                <w:rFonts w:ascii="Times New Roman" w:eastAsia="Times New Roman" w:hAnsi="Times New Roman" w:cs="Times New Roman"/>
                <w:sz w:val="20"/>
                <w:szCs w:val="16"/>
                <w:lang w:val="en-GB"/>
              </w:rPr>
              <w:tab/>
              <w:t>F</w:t>
            </w:r>
            <w:r w:rsidRPr="006E4E14">
              <w:rPr>
                <w:rFonts w:ascii="Times New Roman" w:eastAsia="Times New Roman" w:hAnsi="Times New Roman" w:cs="Times New Roman"/>
                <w:sz w:val="20"/>
                <w:szCs w:val="16"/>
              </w:rPr>
              <w:t xml:space="preserve">or every priority class </w:t>
            </w:r>
            <m:oMath>
              <m:r>
                <w:rPr>
                  <w:rFonts w:ascii="Cambria Math" w:hAnsi="Cambria Math"/>
                  <w:sz w:val="20"/>
                  <w:szCs w:val="18"/>
                </w:rPr>
                <m:t>p∈</m:t>
              </m:r>
              <m:d>
                <m:dPr>
                  <m:begChr m:val="{"/>
                  <m:endChr m:val="}"/>
                  <m:ctrlPr>
                    <w:rPr>
                      <w:rFonts w:ascii="Cambria Math" w:hAnsi="Cambria Math"/>
                      <w:i/>
                      <w:sz w:val="18"/>
                      <w:szCs w:val="18"/>
                    </w:rPr>
                  </m:ctrlPr>
                </m:dPr>
                <m:e>
                  <m:r>
                    <w:rPr>
                      <w:rFonts w:ascii="Cambria Math" w:hAnsi="Cambria Math"/>
                      <w:sz w:val="20"/>
                      <w:szCs w:val="18"/>
                    </w:rPr>
                    <m:t>1,2,3,4</m:t>
                  </m:r>
                </m:e>
              </m:d>
              <m:r>
                <w:rPr>
                  <w:rFonts w:ascii="Cambria Math" w:hAnsi="Cambria Math"/>
                  <w:sz w:val="20"/>
                  <w:szCs w:val="18"/>
                </w:rPr>
                <m:t xml:space="preserve">, </m:t>
              </m:r>
            </m:oMath>
            <w:r w:rsidRPr="006E4E14">
              <w:rPr>
                <w:rFonts w:ascii="Times New Roman" w:eastAsia="Times New Roman" w:hAnsi="Times New Roman" w:cs="Times New Roman"/>
                <w:sz w:val="20"/>
                <w:szCs w:val="16"/>
              </w:rPr>
              <w:t xml:space="preserve">set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func>
                    <m:funcPr>
                      <m:ctrlPr>
                        <w:rPr>
                          <w:rFonts w:ascii="Cambria Math" w:hAnsi="Cambria Math"/>
                          <w:i/>
                          <w:sz w:val="18"/>
                          <w:szCs w:val="18"/>
                        </w:rPr>
                      </m:ctrlPr>
                    </m:funcPr>
                    <m:fName>
                      <m:r>
                        <w:rPr>
                          <w:rFonts w:ascii="Cambria Math" w:hAnsi="Cambria Math"/>
                          <w:sz w:val="20"/>
                          <w:szCs w:val="18"/>
                        </w:rPr>
                        <m:t>min,</m:t>
                      </m:r>
                    </m:fName>
                    <m:e>
                      <m:r>
                        <w:rPr>
                          <w:rFonts w:ascii="Cambria Math" w:hAnsi="Cambria Math"/>
                          <w:sz w:val="20"/>
                          <w:szCs w:val="18"/>
                        </w:rPr>
                        <m:t>p</m:t>
                      </m:r>
                    </m:e>
                  </m:func>
                </m:sub>
              </m:sSub>
            </m:oMath>
            <w:r w:rsidRPr="006E4E14">
              <w:rPr>
                <w:rFonts w:ascii="Times New Roman" w:eastAsia="Times New Roman" w:hAnsi="Times New Roman" w:cs="Times New Roman"/>
                <w:sz w:val="20"/>
                <w:szCs w:val="16"/>
              </w:rPr>
              <w:t>.</w:t>
            </w:r>
          </w:p>
          <w:p w14:paraId="09E314CB" w14:textId="77777777" w:rsidR="00C25F8C" w:rsidRPr="006E4E14" w:rsidRDefault="00C25F8C" w:rsidP="00091483">
            <w:pPr>
              <w:spacing w:after="180" w:line="240" w:lineRule="auto"/>
              <w:ind w:left="568" w:hanging="284"/>
              <w:rPr>
                <w:rFonts w:ascii="Times New Roman" w:eastAsia="Times New Roman" w:hAnsi="Times New Roman" w:cs="Times New Roman"/>
                <w:sz w:val="18"/>
                <w:szCs w:val="16"/>
                <w:lang w:val="en-GB"/>
              </w:rPr>
            </w:pPr>
            <w:r w:rsidRPr="006E4E14">
              <w:rPr>
                <w:rFonts w:ascii="Times New Roman" w:eastAsia="Times New Roman" w:hAnsi="Times New Roman" w:cs="Times New Roman"/>
                <w:sz w:val="20"/>
                <w:szCs w:val="16"/>
              </w:rPr>
              <w:t>2)</w:t>
            </w:r>
            <w:r w:rsidRPr="006E4E14">
              <w:rPr>
                <w:rFonts w:ascii="Times New Roman" w:eastAsia="Times New Roman" w:hAnsi="Times New Roman" w:cs="Times New Roman"/>
                <w:sz w:val="20"/>
                <w:szCs w:val="16"/>
              </w:rPr>
              <w:tab/>
              <w:t xml:space="preserve">If </w:t>
            </w:r>
            <w:r w:rsidRPr="006E4E14">
              <w:rPr>
                <w:rFonts w:ascii="Times New Roman" w:eastAsia="Times New Roman" w:hAnsi="Times New Roman" w:cs="Times New Roman"/>
                <w:sz w:val="20"/>
                <w:szCs w:val="16"/>
                <w:lang w:val="en-GB" w:eastAsia="x-none"/>
              </w:rPr>
              <w:t xml:space="preserve">HARQ-ACK feedback </w:t>
            </w:r>
            <w:r w:rsidRPr="006E4E14">
              <w:rPr>
                <w:rFonts w:ascii="Times New Roman" w:eastAsia="Times New Roman" w:hAnsi="Times New Roman" w:cs="Times New Roman"/>
                <w:sz w:val="20"/>
                <w:szCs w:val="16"/>
                <w:lang w:val="en-GB"/>
              </w:rPr>
              <w:t xml:space="preserve">is available after </w:t>
            </w:r>
            <w:r w:rsidRPr="006E4E14">
              <w:rPr>
                <w:rFonts w:ascii="Times New Roman" w:eastAsia="Times New Roman" w:hAnsi="Times New Roman" w:cs="Times New Roman"/>
                <w:sz w:val="20"/>
                <w:szCs w:val="16"/>
                <w:lang w:val="en-GB" w:eastAsia="x-none"/>
              </w:rPr>
              <w:t xml:space="preserve">the last update of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lang w:val="en-GB" w:eastAsia="x-none"/>
              </w:rPr>
              <w:t xml:space="preserve"> , go to step 3. Otherwise, if the gNB transmission after procedure described in clause 4.1.1 does not include a retransmission or is transmitted within a duration </w:t>
            </w:r>
            <m:oMath>
              <m:sSub>
                <m:sSubPr>
                  <m:ctrlPr>
                    <w:rPr>
                      <w:rFonts w:ascii="Cambria Math" w:hAnsi="Cambria Math"/>
                      <w:i/>
                      <w:sz w:val="18"/>
                      <w:szCs w:val="18"/>
                    </w:rPr>
                  </m:ctrlPr>
                </m:sSubPr>
                <m:e>
                  <m:r>
                    <w:rPr>
                      <w:rFonts w:ascii="Cambria Math" w:hAnsi="Cambria Math"/>
                      <w:sz w:val="20"/>
                      <w:szCs w:val="18"/>
                    </w:rPr>
                    <m:t>T</m:t>
                  </m:r>
                </m:e>
                <m:sub>
                  <m:r>
                    <w:rPr>
                      <w:rFonts w:ascii="Cambria Math" w:hAnsi="Cambria Math"/>
                      <w:sz w:val="20"/>
                      <w:szCs w:val="18"/>
                    </w:rPr>
                    <m:t>w</m:t>
                  </m:r>
                </m:sub>
              </m:sSub>
            </m:oMath>
            <w:r w:rsidRPr="006E4E14">
              <w:rPr>
                <w:rFonts w:ascii="Times New Roman" w:eastAsia="Times New Roman" w:hAnsi="Times New Roman" w:cs="Times New Roman"/>
                <w:sz w:val="20"/>
                <w:szCs w:val="16"/>
                <w:lang w:val="en-GB" w:eastAsia="x-none"/>
              </w:rPr>
              <w:t xml:space="preserve"> from the end of the </w:t>
            </w:r>
            <w:r w:rsidRPr="006E4E14">
              <w:rPr>
                <w:rFonts w:ascii="Times New Roman" w:eastAsia="Times New Roman" w:hAnsi="Times New Roman" w:cs="Times New Roman"/>
                <w:i/>
                <w:sz w:val="20"/>
                <w:szCs w:val="16"/>
                <w:lang w:val="en-GB" w:eastAsia="x-none"/>
              </w:rPr>
              <w:t>reference duration</w:t>
            </w:r>
            <w:r w:rsidRPr="006E4E14">
              <w:rPr>
                <w:rFonts w:ascii="Times New Roman" w:eastAsia="Times New Roman" w:hAnsi="Times New Roman" w:cs="Times New Roman"/>
                <w:sz w:val="20"/>
                <w:szCs w:val="16"/>
                <w:lang w:val="en-GB" w:eastAsia="x-none"/>
              </w:rPr>
              <w:t xml:space="preserve"> corresponding to the earliest DL channel occupancy after the last update of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lang w:val="en-GB" w:eastAsia="x-none"/>
              </w:rPr>
              <w:t>, go to step 5; otherwise go to step 4.</w:t>
            </w:r>
          </w:p>
          <w:p w14:paraId="67A169AA" w14:textId="77777777" w:rsidR="00C25F8C" w:rsidRPr="006E4E14" w:rsidRDefault="00C25F8C" w:rsidP="00091483">
            <w:pPr>
              <w:spacing w:after="180" w:line="240" w:lineRule="auto"/>
              <w:ind w:left="568" w:hanging="284"/>
              <w:rPr>
                <w:rFonts w:ascii="Times New Roman" w:eastAsia="Times New Roman" w:hAnsi="Times New Roman" w:cs="Times New Roman"/>
                <w:sz w:val="18"/>
                <w:szCs w:val="16"/>
                <w:lang w:val="en-GB"/>
              </w:rPr>
            </w:pPr>
            <w:r w:rsidRPr="006E4E14">
              <w:rPr>
                <w:rFonts w:ascii="Times New Roman" w:eastAsia="Times New Roman" w:hAnsi="Times New Roman" w:cs="Times New Roman"/>
                <w:sz w:val="20"/>
                <w:szCs w:val="16"/>
                <w:lang w:val="en-GB"/>
              </w:rPr>
              <w:t>3)</w:t>
            </w:r>
            <w:r w:rsidRPr="006E4E14">
              <w:rPr>
                <w:rFonts w:ascii="Times New Roman" w:eastAsia="Times New Roman" w:hAnsi="Times New Roman" w:cs="Times New Roman"/>
                <w:sz w:val="20"/>
                <w:szCs w:val="16"/>
                <w:lang w:val="en-GB"/>
              </w:rPr>
              <w:tab/>
              <w:t>The HARQ-ACK feedback(s) corresponding to PDSCH(s) in the reference duration for the latest DL channel occupancy for which HARQ-ACK feedback is available is used as follows:</w:t>
            </w:r>
          </w:p>
          <w:p w14:paraId="365F8842" w14:textId="77777777" w:rsidR="00C25F8C" w:rsidRPr="006E4E14" w:rsidRDefault="00C25F8C" w:rsidP="00091483">
            <w:pPr>
              <w:spacing w:after="180" w:line="240" w:lineRule="auto"/>
              <w:ind w:left="851" w:hanging="284"/>
              <w:rPr>
                <w:rFonts w:ascii="Times New Roman" w:eastAsia="Times New Roman" w:hAnsi="Times New Roman" w:cs="Times New Roman"/>
                <w:sz w:val="18"/>
                <w:szCs w:val="16"/>
                <w:lang w:val="en-GB"/>
              </w:rPr>
            </w:pPr>
            <w:r w:rsidRPr="006E4E14">
              <w:rPr>
                <w:rFonts w:ascii="Times New Roman" w:eastAsia="Times New Roman" w:hAnsi="Times New Roman" w:cs="Times New Roman"/>
                <w:sz w:val="20"/>
                <w:szCs w:val="16"/>
                <w:lang w:val="en-GB"/>
              </w:rPr>
              <w:t>a.</w:t>
            </w:r>
            <w:r w:rsidRPr="006E4E14">
              <w:rPr>
                <w:rFonts w:ascii="Times New Roman" w:eastAsia="Times New Roman" w:hAnsi="Times New Roman" w:cs="Times New Roman"/>
                <w:sz w:val="20"/>
                <w:szCs w:val="16"/>
                <w:lang w:val="en-GB"/>
              </w:rPr>
              <w:tab/>
            </w:r>
            <w:r w:rsidRPr="006E4E14">
              <w:rPr>
                <w:rFonts w:ascii="Times New Roman" w:eastAsia="Times New Roman" w:hAnsi="Times New Roman" w:cs="Times New Roman"/>
                <w:sz w:val="20"/>
                <w:szCs w:val="16"/>
                <w:highlight w:val="yellow"/>
                <w:lang w:val="en-GB"/>
              </w:rPr>
              <w:t>If at least one HARQ-ACK feedback is 'ACK' for PDSCH(s) with transport block based feedback</w:t>
            </w:r>
            <w:r w:rsidRPr="006E4E14">
              <w:rPr>
                <w:rFonts w:ascii="Times New Roman" w:eastAsia="Times New Roman" w:hAnsi="Times New Roman" w:cs="Times New Roman"/>
                <w:sz w:val="20"/>
                <w:szCs w:val="16"/>
                <w:lang w:val="en-GB"/>
              </w:rPr>
              <w:t xml:space="preserve"> or at least 10% of HARQ-ACK feedbacks is 'ACK' for PDSCH CBGs transmitted at least partially on the channel with code block group based feedback, go to step 1; otherwise go to step 4.</w:t>
            </w:r>
          </w:p>
          <w:p w14:paraId="09FB1C3A" w14:textId="77777777" w:rsidR="00C25F8C" w:rsidRPr="006E4E14" w:rsidRDefault="00C25F8C" w:rsidP="00091483">
            <w:pPr>
              <w:spacing w:after="180" w:line="240" w:lineRule="auto"/>
              <w:ind w:left="568" w:hanging="284"/>
              <w:rPr>
                <w:rFonts w:ascii="Times New Roman" w:eastAsia="Times New Roman" w:hAnsi="Times New Roman" w:cs="Times New Roman"/>
                <w:sz w:val="18"/>
                <w:szCs w:val="16"/>
                <w:lang w:val="en-GB"/>
              </w:rPr>
            </w:pPr>
            <w:r w:rsidRPr="006E4E14">
              <w:rPr>
                <w:rFonts w:ascii="Times New Roman" w:eastAsia="Times New Roman" w:hAnsi="Times New Roman" w:cs="Times New Roman"/>
                <w:sz w:val="20"/>
                <w:szCs w:val="16"/>
                <w:lang w:val="en-GB"/>
              </w:rPr>
              <w:t>4)</w:t>
            </w:r>
            <w:r w:rsidRPr="006E4E14">
              <w:rPr>
                <w:rFonts w:ascii="Times New Roman" w:eastAsia="Times New Roman" w:hAnsi="Times New Roman" w:cs="Times New Roman"/>
                <w:sz w:val="20"/>
                <w:szCs w:val="16"/>
                <w:lang w:val="en-GB"/>
              </w:rPr>
              <w:tab/>
              <w:t xml:space="preserve">Increase </w:t>
            </w:r>
            <m:oMath>
              <m:r>
                <w:rPr>
                  <w:rFonts w:ascii="Cambria Math" w:hAnsi="Cambria Math"/>
                  <w:sz w:val="20"/>
                  <w:szCs w:val="18"/>
                </w:rPr>
                <m:t>C</m:t>
              </m:r>
              <m:sSub>
                <m:sSubPr>
                  <m:ctrlPr>
                    <w:rPr>
                      <w:rFonts w:ascii="Cambria Math" w:hAnsi="Cambria Math"/>
                      <w:i/>
                      <w:sz w:val="18"/>
                      <w:szCs w:val="18"/>
                    </w:rPr>
                  </m:ctrlPr>
                </m:sSubPr>
                <m:e>
                  <m:r>
                    <w:rPr>
                      <w:rFonts w:ascii="Cambria Math" w:hAnsi="Cambria Math"/>
                      <w:sz w:val="20"/>
                      <w:szCs w:val="18"/>
                    </w:rPr>
                    <m:t>W</m:t>
                  </m:r>
                </m:e>
                <m:sub>
                  <m:r>
                    <w:rPr>
                      <w:rFonts w:ascii="Cambria Math" w:hAnsi="Cambria Math"/>
                      <w:sz w:val="20"/>
                      <w:szCs w:val="18"/>
                    </w:rPr>
                    <m:t>p</m:t>
                  </m:r>
                </m:sub>
              </m:sSub>
            </m:oMath>
            <w:r w:rsidRPr="006E4E14">
              <w:rPr>
                <w:rFonts w:ascii="Times New Roman" w:eastAsia="Times New Roman" w:hAnsi="Times New Roman" w:cs="Times New Roman"/>
                <w:sz w:val="20"/>
                <w:szCs w:val="16"/>
              </w:rPr>
              <w:t xml:space="preserve"> for every priority class </w:t>
            </w:r>
            <m:oMath>
              <m:r>
                <w:rPr>
                  <w:rFonts w:ascii="Cambria Math" w:hAnsi="Cambria Math"/>
                  <w:sz w:val="20"/>
                  <w:szCs w:val="18"/>
                </w:rPr>
                <m:t>p∈</m:t>
              </m:r>
              <m:d>
                <m:dPr>
                  <m:begChr m:val="{"/>
                  <m:endChr m:val="}"/>
                  <m:ctrlPr>
                    <w:rPr>
                      <w:rFonts w:ascii="Cambria Math" w:hAnsi="Cambria Math"/>
                      <w:i/>
                      <w:sz w:val="18"/>
                      <w:szCs w:val="18"/>
                    </w:rPr>
                  </m:ctrlPr>
                </m:dPr>
                <m:e>
                  <m:r>
                    <w:rPr>
                      <w:rFonts w:ascii="Cambria Math" w:hAnsi="Cambria Math"/>
                      <w:sz w:val="20"/>
                      <w:szCs w:val="18"/>
                    </w:rPr>
                    <m:t>1,2,3,4</m:t>
                  </m:r>
                </m:e>
              </m:d>
            </m:oMath>
            <w:r w:rsidRPr="006E4E14">
              <w:rPr>
                <w:rFonts w:ascii="Times New Roman" w:eastAsia="Times New Roman" w:hAnsi="Times New Roman" w:cs="Times New Roman"/>
                <w:sz w:val="20"/>
                <w:szCs w:val="16"/>
                <w:lang w:val="en-GB"/>
              </w:rPr>
              <w:t xml:space="preserve"> </w:t>
            </w:r>
            <w:r w:rsidRPr="006E4E14">
              <w:rPr>
                <w:rFonts w:ascii="Times New Roman" w:eastAsia="Times New Roman" w:hAnsi="Times New Roman" w:cs="Times New Roman"/>
                <w:sz w:val="20"/>
                <w:szCs w:val="16"/>
              </w:rPr>
              <w:t>to the next higher allowed value.</w:t>
            </w:r>
          </w:p>
          <w:p w14:paraId="0176A528" w14:textId="77777777" w:rsidR="00C25F8C" w:rsidRDefault="00C25F8C" w:rsidP="00091483">
            <w:pPr>
              <w:spacing w:after="180" w:line="240" w:lineRule="auto"/>
              <w:ind w:left="568" w:hanging="284"/>
              <w:rPr>
                <w:lang w:eastAsia="ja-JP"/>
              </w:rPr>
            </w:pPr>
            <w:r w:rsidRPr="006E4E14">
              <w:rPr>
                <w:rFonts w:ascii="Times New Roman" w:eastAsia="Times New Roman" w:hAnsi="Times New Roman" w:cs="Times New Roman"/>
                <w:sz w:val="20"/>
                <w:szCs w:val="16"/>
              </w:rPr>
              <w:t>5)</w:t>
            </w:r>
            <w:r w:rsidRPr="006E4E14">
              <w:rPr>
                <w:rFonts w:ascii="Times New Roman" w:eastAsia="Times New Roman" w:hAnsi="Times New Roman" w:cs="Times New Roman"/>
                <w:sz w:val="20"/>
                <w:szCs w:val="16"/>
              </w:rPr>
              <w:tab/>
              <w:t xml:space="preserve">For every priority class </w:t>
            </w:r>
            <m:oMath>
              <m:r>
                <m:rPr>
                  <m:sty m:val="p"/>
                </m:rPr>
                <w:rPr>
                  <w:rFonts w:ascii="Cambria Math" w:hAnsi="Cambria Math"/>
                  <w:sz w:val="20"/>
                  <w:szCs w:val="18"/>
                </w:rPr>
                <m:t>p</m:t>
              </m:r>
              <m:r>
                <w:rPr>
                  <w:rFonts w:ascii="Cambria Math" w:hAnsi="Cambria Math"/>
                  <w:sz w:val="20"/>
                  <w:szCs w:val="18"/>
                </w:rPr>
                <m:t>∈</m:t>
              </m:r>
              <m:d>
                <m:dPr>
                  <m:begChr m:val="{"/>
                  <m:endChr m:val="}"/>
                  <m:ctrlPr>
                    <w:rPr>
                      <w:rFonts w:ascii="Cambria Math" w:hAnsi="Cambria Math"/>
                      <w:i/>
                      <w:sz w:val="18"/>
                      <w:szCs w:val="18"/>
                    </w:rPr>
                  </m:ctrlPr>
                </m:dPr>
                <m:e>
                  <m:r>
                    <w:rPr>
                      <w:rFonts w:ascii="Cambria Math" w:hAnsi="Cambria Math"/>
                      <w:sz w:val="20"/>
                      <w:szCs w:val="18"/>
                    </w:rPr>
                    <m:t>1,2,3,4</m:t>
                  </m:r>
                </m:e>
              </m:d>
            </m:oMath>
            <w:r w:rsidRPr="006E4E14">
              <w:rPr>
                <w:rFonts w:ascii="Times New Roman" w:eastAsia="Times New Roman" w:hAnsi="Times New Roman" w:cs="Times New Roman"/>
                <w:i/>
                <w:sz w:val="20"/>
                <w:szCs w:val="16"/>
                <w:lang w:val="en-GB"/>
              </w:rPr>
              <w:t xml:space="preserve">, </w:t>
            </w:r>
            <w:r w:rsidRPr="006E4E14">
              <w:rPr>
                <w:rFonts w:ascii="Times New Roman" w:eastAsia="Times New Roman" w:hAnsi="Times New Roman" w:cs="Times New Roman"/>
                <w:sz w:val="20"/>
                <w:szCs w:val="16"/>
                <w:lang w:val="en-GB"/>
              </w:rPr>
              <w:t xml:space="preserve">maintain </w:t>
            </w:r>
            <m:oMath>
              <m:r>
                <m:rPr>
                  <m:sty m:val="p"/>
                </m:rPr>
                <w:rPr>
                  <w:rFonts w:ascii="Cambria Math" w:hAnsi="Cambria Math"/>
                  <w:sz w:val="20"/>
                  <w:szCs w:val="18"/>
                </w:rPr>
                <m:t>C</m:t>
              </m:r>
              <m:sSub>
                <m:sSubPr>
                  <m:ctrlPr>
                    <w:rPr>
                      <w:rFonts w:ascii="Cambria Math" w:hAnsi="Cambria Math"/>
                      <w:sz w:val="18"/>
                      <w:szCs w:val="18"/>
                    </w:rPr>
                  </m:ctrlPr>
                </m:sSubPr>
                <m:e>
                  <m:r>
                    <m:rPr>
                      <m:sty m:val="p"/>
                    </m:rPr>
                    <w:rPr>
                      <w:rFonts w:ascii="Cambria Math" w:hAnsi="Cambria Math"/>
                      <w:sz w:val="20"/>
                      <w:szCs w:val="18"/>
                    </w:rPr>
                    <m:t>W</m:t>
                  </m:r>
                </m:e>
                <m:sub>
                  <m:r>
                    <m:rPr>
                      <m:sty m:val="p"/>
                    </m:rPr>
                    <w:rPr>
                      <w:rFonts w:ascii="Cambria Math" w:hAnsi="Cambria Math"/>
                      <w:sz w:val="20"/>
                      <w:szCs w:val="18"/>
                    </w:rPr>
                    <m:t>p</m:t>
                  </m:r>
                </m:sub>
              </m:sSub>
            </m:oMath>
            <w:r w:rsidRPr="006E4E14">
              <w:rPr>
                <w:rFonts w:ascii="Times New Roman" w:eastAsia="Times New Roman" w:hAnsi="Times New Roman" w:cs="Times New Roman"/>
                <w:sz w:val="20"/>
                <w:szCs w:val="16"/>
                <w:lang w:val="en-GB"/>
              </w:rPr>
              <w:t xml:space="preserve"> as it is; go to step 2.</w:t>
            </w:r>
          </w:p>
        </w:tc>
      </w:tr>
    </w:tbl>
    <w:p w14:paraId="174D5E38" w14:textId="7E4470F2" w:rsidR="00320C8E" w:rsidRDefault="005668AF" w:rsidP="00320C8E">
      <w:pPr>
        <w:spacing w:before="240"/>
      </w:pPr>
      <w:r w:rsidRPr="003304B6">
        <w:rPr>
          <w:rFonts w:eastAsia="MS Mincho"/>
          <w:szCs w:val="24"/>
          <w:lang w:val="x-none" w:eastAsia="x-none"/>
        </w:rPr>
        <w:t>The situation is similar when GC-2 is used. In this case, the TX UE expects SL HARQ feedback from all the  RX UEs in the group. The preceding yellow text is also applicable for this case.</w:t>
      </w:r>
    </w:p>
    <w:p w14:paraId="4810FA22" w14:textId="29FA6563" w:rsidR="00320C8E" w:rsidRDefault="00A428DA" w:rsidP="0032676F">
      <w:pPr>
        <w:pStyle w:val="Proposal"/>
      </w:pPr>
      <w:bookmarkStart w:id="34" w:name="_Toc127544557"/>
      <w:r>
        <w:t xml:space="preserve">For </w:t>
      </w:r>
      <w:r w:rsidR="00320C8E">
        <w:t>MCSt</w:t>
      </w:r>
      <w:r>
        <w:t>, the CW is reset if at least on</w:t>
      </w:r>
      <w:r w:rsidR="0026298B">
        <w:t>e</w:t>
      </w:r>
      <w:r>
        <w:t xml:space="preserve"> SL HARQ-ACK feedback </w:t>
      </w:r>
      <w:r w:rsidR="00320C8E">
        <w:t>for the TB</w:t>
      </w:r>
      <w:r w:rsidR="00194389">
        <w:t>(</w:t>
      </w:r>
      <w:r w:rsidR="00320C8E">
        <w:t>s</w:t>
      </w:r>
      <w:r w:rsidR="00194389">
        <w:t>)</w:t>
      </w:r>
      <w:r w:rsidR="002662A3">
        <w:t xml:space="preserve"> within the ‘reference duration’</w:t>
      </w:r>
      <w:r w:rsidR="00320C8E">
        <w:t xml:space="preserve"> </w:t>
      </w:r>
      <w:r>
        <w:t>is ‘ACK’.</w:t>
      </w:r>
      <w:bookmarkEnd w:id="34"/>
    </w:p>
    <w:p w14:paraId="4FED73CD" w14:textId="72D890D3" w:rsidR="0088416A" w:rsidRDefault="00A428DA" w:rsidP="0032676F">
      <w:pPr>
        <w:pStyle w:val="Proposal"/>
      </w:pPr>
      <w:bookmarkStart w:id="35" w:name="_Toc127350145"/>
      <w:bookmarkStart w:id="36" w:name="_Toc127361919"/>
      <w:bookmarkStart w:id="37" w:name="_Toc127544558"/>
      <w:bookmarkEnd w:id="35"/>
      <w:bookmarkEnd w:id="36"/>
      <w:r>
        <w:t>For GC-2, the CW is reset if at least on</w:t>
      </w:r>
      <w:r w:rsidR="0026298B">
        <w:t>e</w:t>
      </w:r>
      <w:r>
        <w:t xml:space="preserve"> SL HARQ-ACK feedback </w:t>
      </w:r>
      <w:r w:rsidR="00194389">
        <w:t xml:space="preserve">for the TB(s) </w:t>
      </w:r>
      <w:r w:rsidR="006E1953">
        <w:t xml:space="preserve">(from any RX UE) </w:t>
      </w:r>
      <w:r w:rsidR="00194389">
        <w:t xml:space="preserve">within the ‘reference duration’ </w:t>
      </w:r>
      <w:r>
        <w:t>is ‘ACK’</w:t>
      </w:r>
      <w:r w:rsidR="00A10A50">
        <w:t xml:space="preserve"> (Option 2)</w:t>
      </w:r>
      <w:r>
        <w:t>.</w:t>
      </w:r>
      <w:bookmarkEnd w:id="37"/>
    </w:p>
    <w:p w14:paraId="6DAD2722" w14:textId="0CE50AC3" w:rsidR="00BB3D83" w:rsidRDefault="001A3001" w:rsidP="00CC75F4">
      <w:pPr>
        <w:pStyle w:val="Doc-text2"/>
        <w:spacing w:before="240"/>
        <w:ind w:left="0" w:firstLine="0"/>
        <w:jc w:val="both"/>
      </w:pPr>
      <w:r>
        <w:lastRenderedPageBreak/>
        <w:t xml:space="preserve">In contrast, the situation is not as clear </w:t>
      </w:r>
      <w:r w:rsidR="00665BCC">
        <w:t xml:space="preserve">when SL HARQ FB is not used </w:t>
      </w:r>
      <w:r w:rsidR="00A36086">
        <w:t>(in BC or disabled in SCI)</w:t>
      </w:r>
      <w:r>
        <w:t xml:space="preserve"> and GC-1. </w:t>
      </w:r>
      <w:r w:rsidR="004E4352">
        <w:t xml:space="preserve">Without feedback, there is no basis for </w:t>
      </w:r>
      <w:r w:rsidR="00866C38">
        <w:t>resetting</w:t>
      </w:r>
      <w:r w:rsidR="004E4352">
        <w:t xml:space="preserve"> the CW</w:t>
      </w:r>
      <w:r w:rsidR="00B70EE9">
        <w:t>.</w:t>
      </w:r>
      <w:r w:rsidR="00BB3D83">
        <w:t xml:space="preserve"> Although DL channel access procedures allow for broadcast transmissions without </w:t>
      </w:r>
      <w:r w:rsidR="00F1030B">
        <w:t xml:space="preserve">CW </w:t>
      </w:r>
      <w:r w:rsidR="00866C38">
        <w:t>increase</w:t>
      </w:r>
      <w:r w:rsidR="00F1030B">
        <w:t>, these are typically control signalling transmissions or PDSCH transmissions without repetitions. This is quite different from SL BC transmissions o</w:t>
      </w:r>
      <w:r w:rsidR="00DA2840">
        <w:t xml:space="preserve">f arbitrary higher layer data. </w:t>
      </w:r>
    </w:p>
    <w:p w14:paraId="49F39570" w14:textId="1FEAB92F" w:rsidR="00BB3D83" w:rsidRDefault="00B70EE9" w:rsidP="00D03749">
      <w:pPr>
        <w:pStyle w:val="Doc-text2"/>
        <w:ind w:left="0" w:firstLine="0"/>
        <w:jc w:val="both"/>
      </w:pPr>
      <w:r>
        <w:t xml:space="preserve"> </w:t>
      </w:r>
    </w:p>
    <w:p w14:paraId="6315F2A7" w14:textId="37227576" w:rsidR="009A0925" w:rsidRDefault="00401C7D" w:rsidP="00D03749">
      <w:pPr>
        <w:pStyle w:val="Doc-text2"/>
        <w:ind w:left="0" w:firstLine="0"/>
        <w:jc w:val="both"/>
      </w:pPr>
      <w:r>
        <w:t>For</w:t>
      </w:r>
      <w:r w:rsidR="009B34E2">
        <w:t xml:space="preserve"> GC-1, there is no transmission</w:t>
      </w:r>
      <w:r w:rsidR="009F4B6F">
        <w:t xml:space="preserve"> (and, thus, no reception either) of</w:t>
      </w:r>
      <w:r w:rsidR="009B34E2">
        <w:t xml:space="preserve"> positive SL HARQ</w:t>
      </w:r>
      <w:r w:rsidR="001A3001">
        <w:t xml:space="preserve"> </w:t>
      </w:r>
      <w:r w:rsidR="009F4B6F">
        <w:t>feedback.</w:t>
      </w:r>
      <w:r w:rsidR="00BC6C93">
        <w:t xml:space="preserve"> </w:t>
      </w:r>
      <w:r>
        <w:t>Consequently, it cannot</w:t>
      </w:r>
      <w:r w:rsidR="00BC6C93">
        <w:t xml:space="preserve"> be confirmed that a </w:t>
      </w:r>
      <w:r w:rsidR="00E447C9">
        <w:t xml:space="preserve">transmission is successful. </w:t>
      </w:r>
      <w:r w:rsidR="005B6259">
        <w:t xml:space="preserve">The argument that </w:t>
      </w:r>
      <w:r w:rsidR="004E51BD">
        <w:t xml:space="preserve">the absence of a NACK is an implicit ACK does not seem reasonable in this case, for </w:t>
      </w:r>
      <w:r w:rsidR="00EB6F37">
        <w:t>every collision</w:t>
      </w:r>
      <w:r w:rsidR="009A0925">
        <w:t xml:space="preserve"> would result in an implicit ACK.</w:t>
      </w:r>
      <w:r w:rsidR="003D3DCF">
        <w:rPr>
          <w:lang w:val="en-US"/>
        </w:rPr>
        <w:t xml:space="preserve"> </w:t>
      </w:r>
      <w:r w:rsidR="009D1684">
        <w:t xml:space="preserve">For </w:t>
      </w:r>
      <w:r w:rsidR="001D646C">
        <w:t xml:space="preserve">reference, we copy the </w:t>
      </w:r>
      <w:r w:rsidR="00BD67C3">
        <w:t>relevant parts of the</w:t>
      </w:r>
      <w:r w:rsidR="001D646C">
        <w:t xml:space="preserve"> ETSI</w:t>
      </w:r>
      <w:r w:rsidR="00C45088">
        <w:t xml:space="preserve"> harmonised standard</w:t>
      </w:r>
      <w:r w:rsidR="00BD67C3">
        <w:t>s</w:t>
      </w:r>
      <w:r w:rsidR="00C45088">
        <w:t xml:space="preserve"> </w:t>
      </w:r>
      <w:r w:rsidR="00BD67C3">
        <w:t xml:space="preserve">for 5 GHz and for 6 GHz (draft) in </w:t>
      </w:r>
      <w:r w:rsidR="00BD67C3">
        <w:fldChar w:fldCharType="begin"/>
      </w:r>
      <w:r w:rsidR="00BD67C3">
        <w:instrText xml:space="preserve"> REF _Ref115366708 \h </w:instrText>
      </w:r>
      <w:r w:rsidR="00BD67C3">
        <w:fldChar w:fldCharType="separate"/>
      </w:r>
      <w:r w:rsidR="00477B8A">
        <w:t xml:space="preserve">Table </w:t>
      </w:r>
      <w:r w:rsidR="00477B8A">
        <w:rPr>
          <w:noProof/>
        </w:rPr>
        <w:t>3</w:t>
      </w:r>
      <w:r w:rsidR="00BD67C3">
        <w:fldChar w:fldCharType="end"/>
      </w:r>
      <w:r w:rsidR="00BD67C3">
        <w:t xml:space="preserve"> and </w:t>
      </w:r>
      <w:r w:rsidR="00BD67C3">
        <w:fldChar w:fldCharType="begin"/>
      </w:r>
      <w:r w:rsidR="00BD67C3">
        <w:instrText xml:space="preserve"> REF _Ref115366710 \h </w:instrText>
      </w:r>
      <w:r w:rsidR="00BD67C3">
        <w:fldChar w:fldCharType="separate"/>
      </w:r>
      <w:r w:rsidR="00477B8A">
        <w:t xml:space="preserve">Table </w:t>
      </w:r>
      <w:r w:rsidR="00477B8A">
        <w:rPr>
          <w:noProof/>
        </w:rPr>
        <w:t>4</w:t>
      </w:r>
      <w:r w:rsidR="00BD67C3">
        <w:fldChar w:fldCharType="end"/>
      </w:r>
      <w:r w:rsidR="00BD67C3">
        <w:t>, respectively.</w:t>
      </w:r>
    </w:p>
    <w:p w14:paraId="0609381F" w14:textId="00915203" w:rsidR="00E569A8" w:rsidRPr="00EE5048" w:rsidRDefault="00E447C9" w:rsidP="00CC75F4">
      <w:pPr>
        <w:pStyle w:val="Doc-text2"/>
        <w:ind w:left="0" w:firstLine="0"/>
        <w:jc w:val="both"/>
      </w:pPr>
      <w:r>
        <w:t xml:space="preserve"> </w:t>
      </w:r>
    </w:p>
    <w:p w14:paraId="41FA52F0" w14:textId="38973F80" w:rsidR="001D646C" w:rsidRPr="009C05B5" w:rsidRDefault="001D646C" w:rsidP="00CC75F4">
      <w:pPr>
        <w:pStyle w:val="Caption"/>
        <w:keepNext/>
        <w:jc w:val="center"/>
      </w:pPr>
      <w:bookmarkStart w:id="38" w:name="_Ref115366708"/>
      <w:r>
        <w:t xml:space="preserve">Table </w:t>
      </w:r>
      <w:r>
        <w:fldChar w:fldCharType="begin"/>
      </w:r>
      <w:r>
        <w:instrText xml:space="preserve"> SEQ Table \* ARABIC </w:instrText>
      </w:r>
      <w:r>
        <w:fldChar w:fldCharType="separate"/>
      </w:r>
      <w:r w:rsidR="00477B8A">
        <w:rPr>
          <w:noProof/>
        </w:rPr>
        <w:t>3</w:t>
      </w:r>
      <w:r>
        <w:fldChar w:fldCharType="end"/>
      </w:r>
      <w:bookmarkEnd w:id="38"/>
      <w:r w:rsidR="002B18EB">
        <w:t xml:space="preserve">. Procedures related to CW adaptation for </w:t>
      </w:r>
      <w:r w:rsidR="00BD67C3">
        <w:t>5</w:t>
      </w:r>
      <w:r w:rsidR="002B18EB">
        <w:t xml:space="preserve"> GHz (Clause</w:t>
      </w:r>
      <w:r w:rsidR="00AB7B23">
        <w:t xml:space="preserve"> </w:t>
      </w:r>
      <w:r w:rsidR="00AB7B23" w:rsidRPr="00AB7B23">
        <w:t>4.2.7.3.2.6</w:t>
      </w:r>
      <w:r w:rsidR="00AB7B23">
        <w:t xml:space="preserve"> in</w:t>
      </w:r>
      <w:r w:rsidR="002B18EB">
        <w:t xml:space="preserve"> </w:t>
      </w:r>
      <w:r w:rsidR="002B18EB">
        <w:fldChar w:fldCharType="begin"/>
      </w:r>
      <w:r w:rsidR="002B18EB">
        <w:instrText xml:space="preserve"> REF _Ref115366479 \r \h </w:instrText>
      </w:r>
      <w:r w:rsidR="002B18EB">
        <w:fldChar w:fldCharType="separate"/>
      </w:r>
      <w:r w:rsidR="00477B8A">
        <w:t>[5]</w:t>
      </w:r>
      <w:r w:rsidR="002B18EB">
        <w:fldChar w:fldCharType="end"/>
      </w:r>
      <w:r w:rsidR="00AB7B23">
        <w:t>)</w:t>
      </w:r>
    </w:p>
    <w:tbl>
      <w:tblPr>
        <w:tblStyle w:val="TableGrid"/>
        <w:tblW w:w="0" w:type="auto"/>
        <w:tblLook w:val="04A0" w:firstRow="1" w:lastRow="0" w:firstColumn="1" w:lastColumn="0" w:noHBand="0" w:noVBand="1"/>
      </w:tblPr>
      <w:tblGrid>
        <w:gridCol w:w="9629"/>
      </w:tblGrid>
      <w:tr w:rsidR="00871756" w14:paraId="0C365510" w14:textId="77777777" w:rsidTr="00D03749">
        <w:tc>
          <w:tcPr>
            <w:tcW w:w="9629" w:type="dxa"/>
          </w:tcPr>
          <w:p w14:paraId="790B526B" w14:textId="22C789EA" w:rsidR="00D03749" w:rsidRDefault="00D03749" w:rsidP="00D03749">
            <w:pPr>
              <w:pStyle w:val="Doc-text2"/>
              <w:ind w:left="0" w:firstLine="0"/>
              <w:jc w:val="both"/>
              <w:rPr>
                <w:lang w:val="en-US"/>
              </w:rPr>
            </w:pPr>
            <w:r w:rsidRPr="00D03749">
              <w:rPr>
                <w:noProof/>
                <w:lang w:val="en-US"/>
              </w:rPr>
              <w:drawing>
                <wp:inline distT="0" distB="0" distL="0" distR="0" wp14:anchorId="5C029B9D" wp14:editId="6B18CC6B">
                  <wp:extent cx="6120765" cy="62738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627380"/>
                          </a:xfrm>
                          <a:prstGeom prst="rect">
                            <a:avLst/>
                          </a:prstGeom>
                        </pic:spPr>
                      </pic:pic>
                    </a:graphicData>
                  </a:graphic>
                </wp:inline>
              </w:drawing>
            </w:r>
          </w:p>
        </w:tc>
      </w:tr>
    </w:tbl>
    <w:p w14:paraId="5A103F1C" w14:textId="32E1233E" w:rsidR="001D646C" w:rsidRPr="009C05B5" w:rsidRDefault="001D646C" w:rsidP="00CC75F4">
      <w:pPr>
        <w:pStyle w:val="Caption"/>
        <w:keepNext/>
        <w:jc w:val="center"/>
      </w:pPr>
      <w:bookmarkStart w:id="39" w:name="_Ref115366710"/>
      <w:r>
        <w:t xml:space="preserve">Table </w:t>
      </w:r>
      <w:r>
        <w:fldChar w:fldCharType="begin"/>
      </w:r>
      <w:r>
        <w:instrText xml:space="preserve"> SEQ Table \* ARABIC </w:instrText>
      </w:r>
      <w:r>
        <w:fldChar w:fldCharType="separate"/>
      </w:r>
      <w:r w:rsidR="00477B8A">
        <w:rPr>
          <w:noProof/>
        </w:rPr>
        <w:t>4</w:t>
      </w:r>
      <w:r>
        <w:fldChar w:fldCharType="end"/>
      </w:r>
      <w:bookmarkEnd w:id="39"/>
      <w:r>
        <w:t xml:space="preserve">. </w:t>
      </w:r>
      <w:r w:rsidR="004921E9">
        <w:t>Procedures related to CW adaptation for 6 GHz</w:t>
      </w:r>
      <w:r w:rsidR="004B396E">
        <w:t xml:space="preserve"> (Clause </w:t>
      </w:r>
      <w:r w:rsidR="004B396E" w:rsidRPr="004B396E">
        <w:t>4.3.6.3.2.5</w:t>
      </w:r>
      <w:r w:rsidR="004B396E">
        <w:t xml:space="preserve"> in </w:t>
      </w:r>
      <w:r w:rsidR="002B18EB">
        <w:fldChar w:fldCharType="begin"/>
      </w:r>
      <w:r w:rsidR="002B18EB">
        <w:instrText xml:space="preserve"> REF _Ref115366469 \r \h </w:instrText>
      </w:r>
      <w:r w:rsidR="002B18EB">
        <w:fldChar w:fldCharType="separate"/>
      </w:r>
      <w:r w:rsidR="00477B8A">
        <w:t>[4]</w:t>
      </w:r>
      <w:r w:rsidR="002B18EB">
        <w:fldChar w:fldCharType="end"/>
      </w:r>
      <w:r w:rsidR="002B18EB">
        <w:t>)</w:t>
      </w:r>
    </w:p>
    <w:tbl>
      <w:tblPr>
        <w:tblStyle w:val="TableGrid"/>
        <w:tblW w:w="0" w:type="auto"/>
        <w:tblLook w:val="04A0" w:firstRow="1" w:lastRow="0" w:firstColumn="1" w:lastColumn="0" w:noHBand="0" w:noVBand="1"/>
      </w:tblPr>
      <w:tblGrid>
        <w:gridCol w:w="9629"/>
      </w:tblGrid>
      <w:tr w:rsidR="00B56DC0" w14:paraId="755E5F21" w14:textId="77777777" w:rsidTr="00BD5735">
        <w:tc>
          <w:tcPr>
            <w:tcW w:w="9629" w:type="dxa"/>
          </w:tcPr>
          <w:p w14:paraId="718D990D" w14:textId="5B8A5047" w:rsidR="00BD5735" w:rsidRDefault="005E415E" w:rsidP="00D03749">
            <w:pPr>
              <w:pStyle w:val="Doc-text2"/>
              <w:ind w:left="0" w:firstLine="0"/>
              <w:jc w:val="both"/>
              <w:rPr>
                <w:lang w:val="en-US"/>
              </w:rPr>
            </w:pPr>
            <w:r>
              <w:rPr>
                <w:noProof/>
                <w:sz w:val="20"/>
              </w:rPr>
              <w:object w:dxaOrig="18540" w:dyaOrig="9915" w14:anchorId="77E4D7EE">
                <v:shape id="_x0000_i1025" type="#_x0000_t75" alt="" style="width:475.45pt;height:251.7pt;mso-width-percent:0;mso-height-percent:0;mso-width-percent:0;mso-height-percent:0" o:ole="">
                  <v:imagedata r:id="rId22" o:title=""/>
                </v:shape>
                <o:OLEObject Type="Embed" ProgID="PBrush" ShapeID="_x0000_i1025" DrawAspect="Content" ObjectID="_1738157405" r:id="rId23"/>
              </w:object>
            </w:r>
          </w:p>
        </w:tc>
      </w:tr>
    </w:tbl>
    <w:p w14:paraId="555D941D" w14:textId="2E6B88FD" w:rsidR="00BD5735" w:rsidRPr="00CC75F4" w:rsidRDefault="00CA484A" w:rsidP="00CC75F4">
      <w:pPr>
        <w:pStyle w:val="Observation"/>
        <w:spacing w:before="240"/>
        <w:ind w:left="1701" w:hanging="1701"/>
      </w:pPr>
      <w:bookmarkStart w:id="40" w:name="_Toc127544581"/>
      <w:r>
        <w:t>The existing CW adaptation procedures are not suitable</w:t>
      </w:r>
      <w:r w:rsidR="00CE201C">
        <w:t xml:space="preserve"> for BC and GC-1. Given the lack of positive </w:t>
      </w:r>
      <w:r w:rsidR="00D806B5">
        <w:t>SL HARQ feedback</w:t>
      </w:r>
      <w:r w:rsidR="00CE201C">
        <w:t>,</w:t>
      </w:r>
      <w:r w:rsidR="00D806B5">
        <w:t xml:space="preserve"> there is no simple solution that can meet the ETSI regulations.</w:t>
      </w:r>
      <w:bookmarkEnd w:id="40"/>
    </w:p>
    <w:p w14:paraId="4E29E7CC" w14:textId="6E732095" w:rsidR="00433AAE" w:rsidRPr="008B48D6" w:rsidRDefault="00433AAE" w:rsidP="0032676F">
      <w:pPr>
        <w:pStyle w:val="Doc-text2"/>
        <w:spacing w:after="240"/>
        <w:ind w:left="0" w:firstLine="0"/>
        <w:jc w:val="both"/>
      </w:pPr>
      <w:r w:rsidRPr="0032676F">
        <w:rPr>
          <w:lang w:val="en-US"/>
        </w:rPr>
        <w:t xml:space="preserve">Given the </w:t>
      </w:r>
      <w:r w:rsidR="00AB4BB1">
        <w:rPr>
          <w:lang w:val="en-US"/>
        </w:rPr>
        <w:t>number</w:t>
      </w:r>
      <w:r>
        <w:rPr>
          <w:lang w:val="en-US"/>
        </w:rPr>
        <w:t xml:space="preserve"> of</w:t>
      </w:r>
      <w:r w:rsidR="00524110">
        <w:rPr>
          <w:lang w:val="en-US"/>
        </w:rPr>
        <w:t xml:space="preserve"> open issues, we believe it is better to focus on SL-U transmissions with SL HARQ FB in this release, leaving other cases with unclear application for future work.</w:t>
      </w:r>
    </w:p>
    <w:p w14:paraId="2DBD39DE" w14:textId="0E63D4E7" w:rsidR="00F765CE" w:rsidRDefault="00B20BF9" w:rsidP="00B20BF9">
      <w:pPr>
        <w:pStyle w:val="Proposal"/>
      </w:pPr>
      <w:bookmarkStart w:id="41" w:name="_Toc127544559"/>
      <w:r>
        <w:t>SL-U transmissions without associated SL HARQ FB are not supported in Rel-18.</w:t>
      </w:r>
      <w:bookmarkEnd w:id="41"/>
    </w:p>
    <w:p w14:paraId="689B0F0F" w14:textId="03572844" w:rsidR="0087708F" w:rsidRPr="00B528CE" w:rsidRDefault="0087708F" w:rsidP="0032676F">
      <w:pPr>
        <w:pStyle w:val="Doc-text2"/>
        <w:spacing w:after="240"/>
        <w:ind w:left="0" w:firstLine="0"/>
        <w:jc w:val="both"/>
      </w:pPr>
      <w:r w:rsidRPr="0032676F">
        <w:rPr>
          <w:lang w:val="en-US"/>
        </w:rPr>
        <w:t>We finally discuss the ‘reference duration’</w:t>
      </w:r>
      <w:r>
        <w:rPr>
          <w:lang w:val="en-US"/>
        </w:rPr>
        <w:t>. We note that the following was agreed in a previous meeting:</w:t>
      </w:r>
    </w:p>
    <w:tbl>
      <w:tblPr>
        <w:tblStyle w:val="TableGrid"/>
        <w:tblW w:w="0" w:type="auto"/>
        <w:tblLook w:val="04A0" w:firstRow="1" w:lastRow="0" w:firstColumn="1" w:lastColumn="0" w:noHBand="0" w:noVBand="1"/>
      </w:tblPr>
      <w:tblGrid>
        <w:gridCol w:w="9629"/>
      </w:tblGrid>
      <w:tr w:rsidR="0087708F" w14:paraId="599176B6" w14:textId="77777777" w:rsidTr="0087708F">
        <w:tc>
          <w:tcPr>
            <w:tcW w:w="9629" w:type="dxa"/>
          </w:tcPr>
          <w:p w14:paraId="3F384B68" w14:textId="77777777" w:rsidR="0087708F" w:rsidRPr="00B10A04" w:rsidRDefault="0087708F" w:rsidP="0087708F">
            <w:pPr>
              <w:rPr>
                <w:rFonts w:ascii="Times New Roman" w:eastAsia="Batang" w:hAnsi="Times New Roman" w:cs="Times New Roman"/>
                <w:b/>
                <w:sz w:val="20"/>
                <w:szCs w:val="20"/>
                <w:lang w:val="en-GB"/>
              </w:rPr>
            </w:pPr>
            <w:bookmarkStart w:id="42" w:name="_Hlk119444613"/>
            <w:r w:rsidRPr="00B10A04">
              <w:rPr>
                <w:rFonts w:ascii="Times New Roman" w:eastAsia="Batang" w:hAnsi="Times New Roman" w:cs="Times New Roman"/>
                <w:b/>
                <w:sz w:val="20"/>
                <w:szCs w:val="20"/>
                <w:highlight w:val="green"/>
                <w:lang w:val="en-GB"/>
              </w:rPr>
              <w:t>Agreement</w:t>
            </w:r>
          </w:p>
          <w:p w14:paraId="6DB1B0A4" w14:textId="77777777" w:rsidR="0087708F" w:rsidRPr="00B10A04" w:rsidRDefault="0087708F" w:rsidP="0087708F">
            <w:pPr>
              <w:autoSpaceDE w:val="0"/>
              <w:autoSpaceDN w:val="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SL reference duration is defined as a duration corresponding to a channel occupancy initiated by the UE including transmission of PSSCH(s), starting from the beginning of the channel occupancy initiated by the UE including transmission of PSSCH(s), until either (one option to be selected later):</w:t>
            </w:r>
          </w:p>
          <w:p w14:paraId="54D277F1" w14:textId="77777777" w:rsidR="0087708F" w:rsidRPr="00B10A04" w:rsidRDefault="0087708F" w:rsidP="0087708F">
            <w:pPr>
              <w:numPr>
                <w:ilvl w:val="0"/>
                <w:numId w:val="27"/>
              </w:numPr>
              <w:autoSpaceDE w:val="0"/>
              <w:autoSpaceDN w:val="0"/>
              <w:ind w:left="72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lastRenderedPageBreak/>
              <w:t xml:space="preserve">Option 1a: </w:t>
            </w:r>
          </w:p>
          <w:p w14:paraId="295035D7" w14:textId="77777777" w:rsidR="0087708F" w:rsidRPr="00B10A04" w:rsidRDefault="0087708F" w:rsidP="0087708F">
            <w:pPr>
              <w:numPr>
                <w:ilvl w:val="1"/>
                <w:numId w:val="27"/>
              </w:numPr>
              <w:autoSpaceDE w:val="0"/>
              <w:autoSpaceDN w:val="0"/>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the end of the first slot where at least one PSSCH with ACK/NACK HARQ-ACK enabled is transmitted</w:t>
            </w:r>
          </w:p>
          <w:p w14:paraId="052E320E" w14:textId="77777777" w:rsidR="0087708F" w:rsidRPr="00B10A04" w:rsidRDefault="0087708F" w:rsidP="0087708F">
            <w:pPr>
              <w:numPr>
                <w:ilvl w:val="1"/>
                <w:numId w:val="27"/>
              </w:numPr>
              <w:autoSpaceDE w:val="0"/>
              <w:autoSpaceDN w:val="0"/>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Note, SL reference duration is not used if PSSCH with ACK/NACK HARQ-ACK enabled cannot be found in the latest COT</w:t>
            </w:r>
          </w:p>
          <w:p w14:paraId="5842F85C" w14:textId="77777777" w:rsidR="0087708F" w:rsidRPr="00B10A04" w:rsidRDefault="0087708F" w:rsidP="0087708F">
            <w:pPr>
              <w:numPr>
                <w:ilvl w:val="1"/>
                <w:numId w:val="27"/>
              </w:numPr>
              <w:autoSpaceDE w:val="0"/>
              <w:autoSpaceDN w:val="0"/>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Whether to support another ending timing is FFS, e.g for MCSt if needed</w:t>
            </w:r>
          </w:p>
          <w:p w14:paraId="1C3EC0E2" w14:textId="77777777" w:rsidR="0087708F" w:rsidRPr="00B10A04" w:rsidRDefault="0087708F" w:rsidP="0087708F">
            <w:pPr>
              <w:numPr>
                <w:ilvl w:val="0"/>
                <w:numId w:val="27"/>
              </w:numPr>
              <w:autoSpaceDE w:val="0"/>
              <w:autoSpaceDN w:val="0"/>
              <w:ind w:left="72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 xml:space="preserve">Option 1b: </w:t>
            </w:r>
          </w:p>
          <w:p w14:paraId="2E7A6150" w14:textId="77777777" w:rsidR="0087708F" w:rsidRPr="00B10A04" w:rsidRDefault="0087708F" w:rsidP="0087708F">
            <w:pPr>
              <w:numPr>
                <w:ilvl w:val="1"/>
                <w:numId w:val="27"/>
              </w:numPr>
              <w:autoSpaceDE w:val="0"/>
              <w:autoSpaceDN w:val="0"/>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the end of the first slot where at least one PSSCH with HARQ-ACK enabled is transmitted</w:t>
            </w:r>
          </w:p>
          <w:p w14:paraId="27F41148" w14:textId="77777777" w:rsidR="0087708F" w:rsidRPr="00B10A04" w:rsidRDefault="0087708F" w:rsidP="0087708F">
            <w:pPr>
              <w:numPr>
                <w:ilvl w:val="1"/>
                <w:numId w:val="27"/>
              </w:numPr>
              <w:autoSpaceDE w:val="0"/>
              <w:autoSpaceDN w:val="0"/>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Note, SL reference duration is not used if PSSCH with HARQ-ACK enabled cannot be found in the latest COT</w:t>
            </w:r>
          </w:p>
          <w:p w14:paraId="5947BB1D" w14:textId="77777777" w:rsidR="0087708F" w:rsidRPr="00B10A04" w:rsidRDefault="0087708F" w:rsidP="0087708F">
            <w:pPr>
              <w:numPr>
                <w:ilvl w:val="1"/>
                <w:numId w:val="27"/>
              </w:numPr>
              <w:autoSpaceDE w:val="0"/>
              <w:autoSpaceDN w:val="0"/>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Whether to support another ending timing is FFS, e.g for MCSt if needed</w:t>
            </w:r>
          </w:p>
          <w:p w14:paraId="2FE23E13" w14:textId="77777777" w:rsidR="0087708F" w:rsidRPr="00B10A04" w:rsidRDefault="0087708F" w:rsidP="0087708F">
            <w:pPr>
              <w:numPr>
                <w:ilvl w:val="0"/>
                <w:numId w:val="27"/>
              </w:numPr>
              <w:autoSpaceDE w:val="0"/>
              <w:autoSpaceDN w:val="0"/>
              <w:ind w:left="72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 xml:space="preserve">Option 2a: </w:t>
            </w:r>
          </w:p>
          <w:p w14:paraId="15742005" w14:textId="6D9E6FC9" w:rsidR="0087708F" w:rsidRPr="00B10A04" w:rsidRDefault="0087708F" w:rsidP="0087708F">
            <w:pPr>
              <w:numPr>
                <w:ilvl w:val="1"/>
                <w:numId w:val="27"/>
              </w:numPr>
              <w:autoSpaceDE w:val="0"/>
              <w:autoSpaceDN w:val="0"/>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the end of the first slot where at least one PSSCH with HARQ-ACK enabled if it is transmitted, otherwise until the end of the channel occupancy</w:t>
            </w:r>
          </w:p>
          <w:p w14:paraId="22FD0D60" w14:textId="77777777" w:rsidR="0087708F" w:rsidRPr="00B10A04" w:rsidRDefault="0087708F" w:rsidP="0087708F">
            <w:pPr>
              <w:numPr>
                <w:ilvl w:val="1"/>
                <w:numId w:val="27"/>
              </w:numPr>
              <w:autoSpaceDE w:val="0"/>
              <w:autoSpaceDN w:val="0"/>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FFS: Whether to support another ending timing is FFS, e.g for MCSt if needed</w:t>
            </w:r>
          </w:p>
          <w:p w14:paraId="60F6E022" w14:textId="77777777" w:rsidR="0087708F" w:rsidRPr="00B10A04" w:rsidRDefault="0087708F" w:rsidP="0087708F">
            <w:pPr>
              <w:numPr>
                <w:ilvl w:val="0"/>
                <w:numId w:val="27"/>
              </w:numPr>
              <w:autoSpaceDE w:val="0"/>
              <w:autoSpaceDN w:val="0"/>
              <w:ind w:left="72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 xml:space="preserve">Option 2b: </w:t>
            </w:r>
          </w:p>
          <w:p w14:paraId="7A016465" w14:textId="77777777" w:rsidR="0087708F" w:rsidRPr="00B10A04" w:rsidRDefault="0087708F" w:rsidP="0087708F">
            <w:pPr>
              <w:numPr>
                <w:ilvl w:val="1"/>
                <w:numId w:val="27"/>
              </w:numPr>
              <w:autoSpaceDE w:val="0"/>
              <w:autoSpaceDN w:val="0"/>
              <w:ind w:left="1440"/>
              <w:jc w:val="both"/>
              <w:rPr>
                <w:rFonts w:ascii="Times New Roman" w:eastAsia="Batang" w:hAnsi="Times New Roman" w:cs="Times New Roman"/>
                <w:sz w:val="20"/>
                <w:szCs w:val="20"/>
                <w:lang w:val="en-GB" w:eastAsia="x-none"/>
              </w:rPr>
            </w:pPr>
            <w:r w:rsidRPr="00B10A04">
              <w:rPr>
                <w:rFonts w:ascii="Times New Roman" w:eastAsia="Batang" w:hAnsi="Times New Roman" w:cs="Times New Roman"/>
                <w:sz w:val="20"/>
                <w:szCs w:val="20"/>
                <w:lang w:val="en-GB" w:eastAsia="x-none"/>
              </w:rPr>
              <w:t>the end of the first slot where at least one PSSCH with HARQ-ACK enabled if it is transmitted, otherwise until the time when UE updates the CW</w:t>
            </w:r>
          </w:p>
          <w:p w14:paraId="56E991F6" w14:textId="1A6F2DB3" w:rsidR="0087708F" w:rsidRPr="0032676F" w:rsidRDefault="0087708F" w:rsidP="0032676F">
            <w:pPr>
              <w:numPr>
                <w:ilvl w:val="1"/>
                <w:numId w:val="27"/>
              </w:numPr>
              <w:autoSpaceDE w:val="0"/>
              <w:autoSpaceDN w:val="0"/>
              <w:ind w:left="1440"/>
              <w:jc w:val="both"/>
              <w:rPr>
                <w:rFonts w:ascii="Times New Roman" w:eastAsia="Batang" w:hAnsi="Times New Roman" w:cs="Times New Roman"/>
                <w:sz w:val="20"/>
                <w:szCs w:val="20"/>
                <w:lang w:val="en-GB"/>
              </w:rPr>
            </w:pPr>
            <w:r w:rsidRPr="00B10A04">
              <w:rPr>
                <w:rFonts w:ascii="Times New Roman" w:eastAsia="Batang" w:hAnsi="Times New Roman" w:cs="Times New Roman"/>
                <w:sz w:val="20"/>
                <w:szCs w:val="20"/>
                <w:lang w:val="en-GB" w:eastAsia="x-none"/>
              </w:rPr>
              <w:t>FFS: Whether to support another ending timing is FFS, e.g for MCSt if needed</w:t>
            </w:r>
            <w:bookmarkEnd w:id="42"/>
          </w:p>
        </w:tc>
      </w:tr>
    </w:tbl>
    <w:p w14:paraId="706D6FF2" w14:textId="7205B75E" w:rsidR="0087708F" w:rsidRDefault="000257DB" w:rsidP="0032676F">
      <w:pPr>
        <w:pStyle w:val="Doc-text2"/>
        <w:spacing w:before="240" w:after="240"/>
        <w:ind w:left="0" w:firstLine="0"/>
        <w:jc w:val="both"/>
        <w:rPr>
          <w:lang w:val="en-US"/>
        </w:rPr>
      </w:pPr>
      <w:r>
        <w:rPr>
          <w:lang w:val="en-US"/>
        </w:rPr>
        <w:lastRenderedPageBreak/>
        <w:t>In view of the preceding proposal, it seems straightforward to selection Option 1a.</w:t>
      </w:r>
      <w:r w:rsidR="006F4B35">
        <w:rPr>
          <w:lang w:val="en-US"/>
        </w:rPr>
        <w:t xml:space="preserve"> For MCSt, </w:t>
      </w:r>
      <w:r w:rsidR="00E47CFF">
        <w:rPr>
          <w:lang w:val="en-US"/>
        </w:rPr>
        <w:t xml:space="preserve">the </w:t>
      </w:r>
      <w:r w:rsidR="00DE10DF">
        <w:rPr>
          <w:lang w:val="en-US"/>
        </w:rPr>
        <w:t xml:space="preserve">issue is slightly different. If the MCSt starts in the first starting point of a slot, then </w:t>
      </w:r>
      <w:r w:rsidR="002A2328">
        <w:rPr>
          <w:lang w:val="en-US"/>
        </w:rPr>
        <w:t>Option 1a</w:t>
      </w:r>
      <w:r w:rsidR="00090559">
        <w:rPr>
          <w:lang w:val="en-US"/>
        </w:rPr>
        <w:t xml:space="preserve"> works well. However, </w:t>
      </w:r>
      <w:r w:rsidR="000C4883">
        <w:rPr>
          <w:lang w:val="en-US"/>
        </w:rPr>
        <w:t xml:space="preserve">the PHY structure for a MCSt that </w:t>
      </w:r>
      <w:r w:rsidR="00090559">
        <w:rPr>
          <w:lang w:val="en-US"/>
        </w:rPr>
        <w:t>starts in the second starting point of a slot</w:t>
      </w:r>
      <w:r w:rsidR="000C4883">
        <w:rPr>
          <w:lang w:val="en-US"/>
        </w:rPr>
        <w:t xml:space="preserve"> is still TBD</w:t>
      </w:r>
      <w:r w:rsidR="00BD586A">
        <w:rPr>
          <w:lang w:val="en-US"/>
        </w:rPr>
        <w:t>.</w:t>
      </w:r>
    </w:p>
    <w:p w14:paraId="56F8FC34" w14:textId="4D77DC75" w:rsidR="000257DB" w:rsidRDefault="002668EA" w:rsidP="000257DB">
      <w:pPr>
        <w:pStyle w:val="Proposal"/>
      </w:pPr>
      <w:bookmarkStart w:id="43" w:name="_Toc127544560"/>
      <w:r>
        <w:t>Option 1a is used for defining the ‘reference duration’</w:t>
      </w:r>
      <w:r w:rsidR="006B5E39">
        <w:t xml:space="preserve"> including MCSt</w:t>
      </w:r>
      <w:r w:rsidR="00BB04F0">
        <w:t xml:space="preserve"> (FFS</w:t>
      </w:r>
      <w:r w:rsidR="00BD586A">
        <w:t xml:space="preserve"> MCSt starting in the second starting point of a slot</w:t>
      </w:r>
      <w:r w:rsidR="00BB04F0">
        <w:t>)</w:t>
      </w:r>
      <w:r w:rsidR="00521B89">
        <w:t>.</w:t>
      </w:r>
      <w:bookmarkEnd w:id="43"/>
    </w:p>
    <w:p w14:paraId="75F5FEA3" w14:textId="0D91A9A6" w:rsidR="00B045B2" w:rsidRPr="002A5BD4" w:rsidRDefault="00264250" w:rsidP="002A5BD4">
      <w:pPr>
        <w:pStyle w:val="Heading2"/>
        <w:rPr>
          <w:rStyle w:val="IvDbodytextChar"/>
          <w:spacing w:val="0"/>
          <w:lang w:val="en-GB" w:eastAsia="ja-JP"/>
        </w:rPr>
      </w:pPr>
      <w:r w:rsidRPr="002A5BD4">
        <w:rPr>
          <w:rStyle w:val="IvDbodytextChar"/>
          <w:spacing w:val="0"/>
          <w:lang w:val="en-GB" w:eastAsia="ja-JP"/>
        </w:rPr>
        <w:t>3</w:t>
      </w:r>
      <w:r w:rsidR="00C12C2D" w:rsidRPr="002A5BD4">
        <w:rPr>
          <w:rStyle w:val="IvDbodytextChar"/>
          <w:spacing w:val="0"/>
          <w:lang w:val="en-GB" w:eastAsia="ja-JP"/>
        </w:rPr>
        <w:t>.</w:t>
      </w:r>
      <w:r w:rsidR="004E5648">
        <w:rPr>
          <w:rStyle w:val="IvDbodytextChar"/>
          <w:spacing w:val="0"/>
          <w:lang w:eastAsia="ja-JP"/>
        </w:rPr>
        <w:t>2</w:t>
      </w:r>
      <w:r w:rsidR="00C12C2D" w:rsidRPr="002A5BD4">
        <w:rPr>
          <w:rStyle w:val="IvDbodytextChar"/>
          <w:spacing w:val="0"/>
          <w:lang w:val="en-GB" w:eastAsia="ja-JP"/>
        </w:rPr>
        <w:tab/>
      </w:r>
      <w:r w:rsidR="004E5648">
        <w:rPr>
          <w:rStyle w:val="IvDbodytextChar"/>
          <w:spacing w:val="0"/>
          <w:lang w:eastAsia="ja-JP"/>
        </w:rPr>
        <w:t>W</w:t>
      </w:r>
      <w:r w:rsidR="00DB26B7" w:rsidRPr="002A5BD4">
        <w:rPr>
          <w:rStyle w:val="IvDbodytextChar"/>
          <w:spacing w:val="0"/>
          <w:lang w:val="en-GB" w:eastAsia="ja-JP"/>
        </w:rPr>
        <w:t xml:space="preserve">ideband </w:t>
      </w:r>
      <w:r w:rsidR="005E04A3" w:rsidRPr="002A5BD4">
        <w:rPr>
          <w:rStyle w:val="IvDbodytextChar"/>
          <w:spacing w:val="0"/>
          <w:lang w:val="en-GB" w:eastAsia="ja-JP"/>
        </w:rPr>
        <w:t>mode</w:t>
      </w:r>
    </w:p>
    <w:p w14:paraId="40A967E7" w14:textId="1C92FEDA" w:rsidR="00C12C2D" w:rsidRDefault="00FD5DD5" w:rsidP="00034602">
      <w:pPr>
        <w:pStyle w:val="Doc-text2"/>
        <w:ind w:left="0" w:firstLine="0"/>
        <w:jc w:val="both"/>
        <w:rPr>
          <w:lang w:val="en-US"/>
        </w:rPr>
      </w:pPr>
      <w:r>
        <w:rPr>
          <w:lang w:val="en-US"/>
        </w:rPr>
        <w:t xml:space="preserve">In case of wideband </w:t>
      </w:r>
      <w:r w:rsidR="00E248A7">
        <w:rPr>
          <w:lang w:val="en-US"/>
        </w:rPr>
        <w:t xml:space="preserve">operation, there is a mode where the </w:t>
      </w:r>
      <w:r w:rsidR="00165E5D">
        <w:rPr>
          <w:lang w:val="en-US"/>
        </w:rPr>
        <w:t>carrier bandwidth is greater than the channel bandwidth</w:t>
      </w:r>
      <w:r w:rsidR="00E57E36">
        <w:rPr>
          <w:lang w:val="en-US"/>
        </w:rPr>
        <w:t xml:space="preserve"> (i.e.</w:t>
      </w:r>
      <w:r w:rsidR="00D17407">
        <w:rPr>
          <w:lang w:val="en-US"/>
        </w:rPr>
        <w:t>,</w:t>
      </w:r>
      <w:r w:rsidR="00E57E36">
        <w:rPr>
          <w:lang w:val="en-US"/>
        </w:rPr>
        <w:t xml:space="preserve"> wideband mode 2)</w:t>
      </w:r>
      <w:r w:rsidR="00165E5D">
        <w:rPr>
          <w:lang w:val="en-US"/>
        </w:rPr>
        <w:t xml:space="preserve">. </w:t>
      </w:r>
      <w:r w:rsidR="00301D13">
        <w:rPr>
          <w:lang w:val="en-US"/>
        </w:rPr>
        <w:t>To</w:t>
      </w:r>
      <w:r w:rsidR="00165E5D">
        <w:rPr>
          <w:lang w:val="en-US"/>
        </w:rPr>
        <w:t xml:space="preserve"> operate SL-U in wideband mode</w:t>
      </w:r>
      <w:r w:rsidR="00E57E36">
        <w:rPr>
          <w:lang w:val="en-US"/>
        </w:rPr>
        <w:t xml:space="preserve"> 2</w:t>
      </w:r>
      <w:r w:rsidR="00165E5D">
        <w:rPr>
          <w:lang w:val="en-US"/>
        </w:rPr>
        <w:t>, SL bandwidth part and</w:t>
      </w:r>
      <w:r w:rsidR="00905931">
        <w:rPr>
          <w:lang w:val="en-US"/>
        </w:rPr>
        <w:t xml:space="preserve"> SL </w:t>
      </w:r>
      <w:r w:rsidR="00165E5D">
        <w:rPr>
          <w:lang w:val="en-US"/>
        </w:rPr>
        <w:t>resource pool</w:t>
      </w:r>
      <w:r w:rsidR="00905931">
        <w:rPr>
          <w:lang w:val="en-US"/>
        </w:rPr>
        <w:t xml:space="preserve"> can be configured to consist of multiple </w:t>
      </w:r>
      <w:r w:rsidR="00675818">
        <w:rPr>
          <w:lang w:val="en-US"/>
        </w:rPr>
        <w:t>RBsets</w:t>
      </w:r>
      <w:r w:rsidR="000D2D92">
        <w:rPr>
          <w:lang w:val="en-US"/>
        </w:rPr>
        <w:t xml:space="preserve"> or channels. </w:t>
      </w:r>
      <w:r w:rsidR="00F32973">
        <w:rPr>
          <w:lang w:val="en-US"/>
        </w:rPr>
        <w:t xml:space="preserve">The organization of resources in unlicensed spectrum for SL operation is described in </w:t>
      </w:r>
      <w:r w:rsidR="00DF0221">
        <w:rPr>
          <w:lang w:val="en-US"/>
        </w:rPr>
        <w:t>detail</w:t>
      </w:r>
      <w:r w:rsidR="00F32973">
        <w:rPr>
          <w:lang w:val="en-US"/>
        </w:rPr>
        <w:t xml:space="preserve"> in our companion </w:t>
      </w:r>
      <w:r w:rsidR="00F32973" w:rsidRPr="007B603C">
        <w:rPr>
          <w:lang w:val="en-US"/>
        </w:rPr>
        <w:t xml:space="preserve">contribution </w:t>
      </w:r>
      <w:r w:rsidR="00F32973" w:rsidRPr="00A71939">
        <w:rPr>
          <w:lang w:val="en-US"/>
        </w:rPr>
        <w:t>[</w:t>
      </w:r>
      <w:r w:rsidR="007B603C" w:rsidRPr="00A71939">
        <w:rPr>
          <w:lang w:val="en-US"/>
        </w:rPr>
        <w:t>3</w:t>
      </w:r>
      <w:r w:rsidR="00F32973" w:rsidRPr="00A71939">
        <w:rPr>
          <w:lang w:val="en-US"/>
        </w:rPr>
        <w:t>].</w:t>
      </w:r>
      <w:r w:rsidR="00F32973">
        <w:rPr>
          <w:lang w:val="en-US"/>
        </w:rPr>
        <w:t xml:space="preserve"> </w:t>
      </w:r>
    </w:p>
    <w:p w14:paraId="37376EC5" w14:textId="77777777" w:rsidR="00F32973" w:rsidRDefault="00F32973" w:rsidP="00C12C2D">
      <w:pPr>
        <w:pStyle w:val="Doc-text2"/>
        <w:ind w:left="0" w:firstLine="0"/>
        <w:rPr>
          <w:lang w:val="en-US"/>
        </w:rPr>
      </w:pPr>
    </w:p>
    <w:p w14:paraId="1D7B7B44" w14:textId="619B22C9" w:rsidR="00F32973" w:rsidRDefault="00C22ACD" w:rsidP="00C27B89">
      <w:pPr>
        <w:pStyle w:val="Proposal"/>
        <w:spacing w:after="0"/>
      </w:pPr>
      <w:bookmarkStart w:id="44" w:name="_Toc127544561"/>
      <w:r>
        <w:t>SL bandwidth part and SL resource pool</w:t>
      </w:r>
      <w:r w:rsidR="0058638A">
        <w:t xml:space="preserve"> can be </w:t>
      </w:r>
      <w:r w:rsidR="004640C4">
        <w:t>(pre-)</w:t>
      </w:r>
      <w:r w:rsidR="0058638A">
        <w:t xml:space="preserve">configured to be </w:t>
      </w:r>
      <w:r w:rsidR="00484EF9">
        <w:t xml:space="preserve">an </w:t>
      </w:r>
      <w:r w:rsidR="0058638A">
        <w:t xml:space="preserve">integer multiple of </w:t>
      </w:r>
      <w:r w:rsidR="00B47C05">
        <w:t>RBsets</w:t>
      </w:r>
      <w:r w:rsidR="00395A50">
        <w:t xml:space="preserve"> or channels.</w:t>
      </w:r>
      <w:bookmarkEnd w:id="44"/>
      <w:r w:rsidR="00395A50">
        <w:t xml:space="preserve"> </w:t>
      </w:r>
    </w:p>
    <w:p w14:paraId="0497519F" w14:textId="1FB7D565" w:rsidR="00C91504" w:rsidRPr="00AF008A" w:rsidRDefault="00993485" w:rsidP="00034602">
      <w:pPr>
        <w:spacing w:before="240" w:after="0"/>
        <w:jc w:val="both"/>
        <w:rPr>
          <w:rFonts w:cs="Arial"/>
          <w:iCs/>
          <w:szCs w:val="20"/>
          <w:lang w:val="en-GB" w:eastAsia="x-none"/>
        </w:rPr>
      </w:pPr>
      <w:r>
        <w:rPr>
          <w:rFonts w:cs="Arial"/>
          <w:iCs/>
          <w:lang w:val="en-GB" w:eastAsia="x-none"/>
        </w:rPr>
        <w:t xml:space="preserve">According to the existing SL mode 2 resource allocation, a set of resources is determined by a transmitting UE to be available within a resource selection window based on previous reservation signals by other UEs which are received during the sensing window. The set of available resources are confined within the resource pool configured to the UE. Once the set of available resources </w:t>
      </w:r>
      <w:r w:rsidR="009A27B7">
        <w:rPr>
          <w:rFonts w:cs="Arial"/>
          <w:iCs/>
          <w:lang w:val="en-GB" w:eastAsia="x-none"/>
        </w:rPr>
        <w:t xml:space="preserve">is </w:t>
      </w:r>
      <w:r>
        <w:rPr>
          <w:rFonts w:cs="Arial"/>
          <w:iCs/>
          <w:lang w:val="en-GB" w:eastAsia="x-none"/>
        </w:rPr>
        <w:t xml:space="preserve">determined, the UE selects resources to be used for (re)transmission in a random fashion. Therefore, </w:t>
      </w:r>
      <w:r w:rsidR="00040DEF">
        <w:rPr>
          <w:rFonts w:cs="Arial"/>
          <w:iCs/>
          <w:lang w:val="en-GB" w:eastAsia="x-none"/>
        </w:rPr>
        <w:t>it is possible</w:t>
      </w:r>
      <w:r>
        <w:rPr>
          <w:rFonts w:cs="Arial"/>
          <w:iCs/>
          <w:lang w:val="en-GB" w:eastAsia="x-none"/>
        </w:rPr>
        <w:t xml:space="preserve"> that the resource is selected span</w:t>
      </w:r>
      <w:r w:rsidR="00C91504">
        <w:rPr>
          <w:rFonts w:cs="Arial"/>
          <w:iCs/>
          <w:lang w:val="en-GB" w:eastAsia="x-none"/>
        </w:rPr>
        <w:t>s</w:t>
      </w:r>
      <w:r>
        <w:rPr>
          <w:rFonts w:cs="Arial"/>
          <w:iCs/>
          <w:lang w:val="en-GB" w:eastAsia="x-none"/>
        </w:rPr>
        <w:t xml:space="preserve"> multiple </w:t>
      </w:r>
      <w:r w:rsidR="0052267C">
        <w:rPr>
          <w:rFonts w:cs="Arial"/>
          <w:iCs/>
          <w:lang w:val="en-GB" w:eastAsia="x-none"/>
        </w:rPr>
        <w:t>channels</w:t>
      </w:r>
      <w:r>
        <w:rPr>
          <w:rFonts w:cs="Arial"/>
          <w:iCs/>
          <w:lang w:val="en-GB" w:eastAsia="x-none"/>
        </w:rPr>
        <w:t xml:space="preserve">. However, such way of resource allocation is not very efficient in wideband operation because of </w:t>
      </w:r>
      <w:r w:rsidRPr="00763013">
        <w:rPr>
          <w:rFonts w:cs="Arial"/>
          <w:szCs w:val="20"/>
          <w:lang w:val="en-GB" w:eastAsia="x-none"/>
        </w:rPr>
        <w:t>the following reasons:</w:t>
      </w:r>
      <w:r w:rsidR="00D6127C" w:rsidRPr="00FF2232">
        <w:rPr>
          <w:rFonts w:cs="Arial"/>
          <w:iCs/>
          <w:szCs w:val="20"/>
          <w:lang w:val="en-GB" w:eastAsia="x-none"/>
        </w:rPr>
        <w:t xml:space="preserve"> </w:t>
      </w:r>
    </w:p>
    <w:p w14:paraId="12708A1A" w14:textId="6969867F" w:rsidR="00C91504" w:rsidRPr="00034602" w:rsidRDefault="00993485" w:rsidP="00194E14">
      <w:pPr>
        <w:pStyle w:val="ListParagraph"/>
        <w:numPr>
          <w:ilvl w:val="0"/>
          <w:numId w:val="25"/>
        </w:numPr>
        <w:spacing w:before="240"/>
        <w:jc w:val="both"/>
        <w:rPr>
          <w:rFonts w:ascii="Arial" w:hAnsi="Arial" w:cs="Arial"/>
          <w:iCs/>
          <w:sz w:val="20"/>
          <w:szCs w:val="20"/>
          <w:lang w:val="en-GB" w:eastAsia="x-none"/>
        </w:rPr>
      </w:pPr>
      <w:r w:rsidRPr="00034602">
        <w:rPr>
          <w:rFonts w:ascii="Arial" w:hAnsi="Arial" w:cs="Arial"/>
          <w:iCs/>
          <w:sz w:val="20"/>
          <w:szCs w:val="20"/>
          <w:lang w:val="en-GB" w:eastAsia="x-none"/>
        </w:rPr>
        <w:t xml:space="preserve">Transmission can only be performed on the selected resource when the LBT is successful in all the </w:t>
      </w:r>
      <w:r w:rsidR="00D6127C" w:rsidRPr="00034602">
        <w:rPr>
          <w:rFonts w:ascii="Arial" w:hAnsi="Arial" w:cs="Arial"/>
          <w:iCs/>
          <w:sz w:val="20"/>
          <w:szCs w:val="20"/>
          <w:lang w:val="en-GB" w:eastAsia="x-none"/>
        </w:rPr>
        <w:t>channels</w:t>
      </w:r>
      <w:r w:rsidRPr="00034602">
        <w:rPr>
          <w:rFonts w:ascii="Arial" w:hAnsi="Arial" w:cs="Arial"/>
          <w:iCs/>
          <w:sz w:val="20"/>
          <w:szCs w:val="20"/>
          <w:lang w:val="en-GB" w:eastAsia="x-none"/>
        </w:rPr>
        <w:t xml:space="preserve"> occupied by the resource. This increases the likelihood of LBT failure because the </w:t>
      </w:r>
      <w:r w:rsidRPr="00034602">
        <w:rPr>
          <w:rFonts w:ascii="Arial" w:hAnsi="Arial" w:cs="Arial"/>
          <w:iCs/>
          <w:sz w:val="20"/>
          <w:szCs w:val="20"/>
          <w:lang w:val="en-GB" w:eastAsia="x-none"/>
        </w:rPr>
        <w:lastRenderedPageBreak/>
        <w:t xml:space="preserve">transmission cannot be performed on the selected resource if </w:t>
      </w:r>
      <w:r w:rsidR="00D6127C" w:rsidRPr="00034602">
        <w:rPr>
          <w:rFonts w:ascii="Arial" w:hAnsi="Arial" w:cs="Arial"/>
          <w:iCs/>
          <w:sz w:val="20"/>
          <w:szCs w:val="20"/>
          <w:lang w:val="en-GB" w:eastAsia="x-none"/>
        </w:rPr>
        <w:t xml:space="preserve">LBT fails in one of the occupied </w:t>
      </w:r>
      <w:r w:rsidR="00FC2355" w:rsidRPr="00034602">
        <w:rPr>
          <w:rFonts w:ascii="Arial" w:hAnsi="Arial" w:cs="Arial"/>
          <w:iCs/>
          <w:sz w:val="20"/>
          <w:szCs w:val="20"/>
          <w:lang w:val="en-GB" w:eastAsia="x-none"/>
        </w:rPr>
        <w:t>channels</w:t>
      </w:r>
      <w:r w:rsidRPr="00034602">
        <w:rPr>
          <w:rFonts w:ascii="Arial" w:hAnsi="Arial" w:cs="Arial"/>
          <w:iCs/>
          <w:sz w:val="20"/>
          <w:szCs w:val="20"/>
          <w:lang w:val="en-GB" w:eastAsia="x-none"/>
        </w:rPr>
        <w:t xml:space="preserve">. </w:t>
      </w:r>
    </w:p>
    <w:p w14:paraId="23A12F02" w14:textId="5B7307C3" w:rsidR="00993485" w:rsidRPr="00034602" w:rsidRDefault="00993485" w:rsidP="00194E14">
      <w:pPr>
        <w:pStyle w:val="ListParagraph"/>
        <w:numPr>
          <w:ilvl w:val="0"/>
          <w:numId w:val="25"/>
        </w:numPr>
        <w:spacing w:before="240"/>
        <w:jc w:val="both"/>
        <w:rPr>
          <w:rFonts w:cs="Arial"/>
          <w:szCs w:val="20"/>
          <w:lang w:val="en-GB" w:eastAsia="x-none"/>
        </w:rPr>
      </w:pPr>
      <w:r w:rsidRPr="00034602">
        <w:rPr>
          <w:rFonts w:ascii="Arial" w:hAnsi="Arial" w:cs="Arial"/>
          <w:iCs/>
          <w:sz w:val="20"/>
          <w:szCs w:val="20"/>
          <w:lang w:val="en-GB" w:eastAsia="x-none"/>
        </w:rPr>
        <w:t xml:space="preserve">If the selected resource spans on multiple LBT </w:t>
      </w:r>
      <w:r w:rsidR="00BA060D">
        <w:rPr>
          <w:rFonts w:ascii="Arial" w:hAnsi="Arial" w:cs="Arial"/>
          <w:iCs/>
          <w:sz w:val="20"/>
          <w:szCs w:val="20"/>
          <w:lang w:val="en-GB" w:eastAsia="x-none"/>
        </w:rPr>
        <w:t>channels</w:t>
      </w:r>
      <w:r w:rsidRPr="00034602">
        <w:rPr>
          <w:rFonts w:ascii="Arial" w:hAnsi="Arial" w:cs="Arial"/>
          <w:iCs/>
          <w:sz w:val="20"/>
          <w:szCs w:val="20"/>
          <w:lang w:val="en-GB" w:eastAsia="x-none"/>
        </w:rPr>
        <w:t xml:space="preserve">, it produces bandwidth fragmentation since CCA is performed on per </w:t>
      </w:r>
      <w:r w:rsidR="004D5CC9" w:rsidRPr="00034602">
        <w:rPr>
          <w:rFonts w:ascii="Arial" w:hAnsi="Arial" w:cs="Arial"/>
          <w:iCs/>
          <w:sz w:val="20"/>
          <w:szCs w:val="20"/>
          <w:lang w:val="en-GB" w:eastAsia="x-none"/>
        </w:rPr>
        <w:t>channel</w:t>
      </w:r>
      <w:r w:rsidRPr="00034602">
        <w:rPr>
          <w:rFonts w:ascii="Arial" w:hAnsi="Arial" w:cs="Arial"/>
          <w:iCs/>
          <w:sz w:val="20"/>
          <w:szCs w:val="20"/>
          <w:lang w:val="en-GB" w:eastAsia="x-none"/>
        </w:rPr>
        <w:t xml:space="preserve"> and the whole sub-band will be determined to be as unavailable even </w:t>
      </w:r>
      <w:r w:rsidR="00FC2355" w:rsidRPr="00034602">
        <w:rPr>
          <w:rFonts w:ascii="Arial" w:hAnsi="Arial" w:cs="Arial"/>
          <w:iCs/>
          <w:sz w:val="20"/>
          <w:szCs w:val="20"/>
          <w:lang w:val="en-GB" w:eastAsia="x-none"/>
        </w:rPr>
        <w:t xml:space="preserve">if </w:t>
      </w:r>
      <w:r w:rsidRPr="00034602">
        <w:rPr>
          <w:rFonts w:ascii="Arial" w:hAnsi="Arial" w:cs="Arial"/>
          <w:iCs/>
          <w:sz w:val="20"/>
          <w:szCs w:val="20"/>
          <w:lang w:val="en-GB" w:eastAsia="x-none"/>
        </w:rPr>
        <w:t xml:space="preserve">one subchannel is occupied. </w:t>
      </w:r>
    </w:p>
    <w:p w14:paraId="6C2DFCE4" w14:textId="02DC05CC" w:rsidR="00A57E8C" w:rsidRDefault="00A57E8C" w:rsidP="00034602">
      <w:pPr>
        <w:pStyle w:val="Observation"/>
        <w:spacing w:before="240"/>
        <w:ind w:left="1701" w:hanging="1701"/>
        <w:rPr>
          <w:lang w:val="en-GB"/>
        </w:rPr>
      </w:pPr>
      <w:bookmarkStart w:id="45" w:name="_Toc127544582"/>
      <w:r>
        <w:rPr>
          <w:lang w:val="en-GB"/>
        </w:rPr>
        <w:t xml:space="preserve">Random resource </w:t>
      </w:r>
      <w:r w:rsidR="00404343">
        <w:rPr>
          <w:lang w:val="en-GB"/>
        </w:rPr>
        <w:t>selection</w:t>
      </w:r>
      <w:r w:rsidR="00FC4A63">
        <w:rPr>
          <w:lang w:val="en-GB"/>
        </w:rPr>
        <w:t xml:space="preserve"> increases the chances of LBT failures in case of wideband operation.</w:t>
      </w:r>
      <w:bookmarkEnd w:id="45"/>
      <w:r w:rsidR="00FC4A63">
        <w:rPr>
          <w:lang w:val="en-GB"/>
        </w:rPr>
        <w:t xml:space="preserve"> </w:t>
      </w:r>
    </w:p>
    <w:p w14:paraId="4D3A24CF" w14:textId="467D3386" w:rsidR="00FC4A63" w:rsidRDefault="00C95B11" w:rsidP="007B603C">
      <w:pPr>
        <w:pStyle w:val="Doc-text2"/>
        <w:ind w:left="0" w:firstLine="0"/>
        <w:jc w:val="both"/>
        <w:rPr>
          <w:lang w:val="en-US"/>
        </w:rPr>
      </w:pPr>
      <w:r>
        <w:rPr>
          <w:lang w:val="en-US"/>
        </w:rPr>
        <w:t>In our opinion, it is important to specify enhancements to Rel</w:t>
      </w:r>
      <w:r w:rsidR="00C27B89">
        <w:rPr>
          <w:lang w:val="en-US"/>
        </w:rPr>
        <w:t>-</w:t>
      </w:r>
      <w:r>
        <w:rPr>
          <w:lang w:val="en-US"/>
        </w:rPr>
        <w:t xml:space="preserve">16 resource selection procedure to </w:t>
      </w:r>
      <w:r w:rsidR="003C5081">
        <w:rPr>
          <w:lang w:val="en-US"/>
        </w:rPr>
        <w:t xml:space="preserve">operate on </w:t>
      </w:r>
      <w:r w:rsidR="00D411DD">
        <w:rPr>
          <w:lang w:val="en-US"/>
        </w:rPr>
        <w:t xml:space="preserve">wideband mode of operation on unlicensed spectrum. </w:t>
      </w:r>
      <w:r w:rsidR="00334EDF">
        <w:rPr>
          <w:lang w:val="en-US"/>
        </w:rPr>
        <w:t xml:space="preserve">One possible solution to </w:t>
      </w:r>
      <w:r w:rsidR="008E72DA">
        <w:rPr>
          <w:lang w:val="en-US"/>
        </w:rPr>
        <w:t xml:space="preserve">address </w:t>
      </w:r>
      <w:r w:rsidR="00334EDF">
        <w:rPr>
          <w:lang w:val="en-US"/>
        </w:rPr>
        <w:t xml:space="preserve">the </w:t>
      </w:r>
      <w:r w:rsidR="00F16657">
        <w:rPr>
          <w:lang w:val="en-US"/>
        </w:rPr>
        <w:t>problems described above</w:t>
      </w:r>
      <w:r w:rsidR="00334EDF">
        <w:rPr>
          <w:lang w:val="en-US"/>
        </w:rPr>
        <w:t xml:space="preserve"> is t</w:t>
      </w:r>
      <w:r w:rsidR="002C013E">
        <w:rPr>
          <w:lang w:val="en-US"/>
        </w:rPr>
        <w:t xml:space="preserve">o specify an additional restriction that limits UE to select resources </w:t>
      </w:r>
      <w:r w:rsidR="004C5F46">
        <w:rPr>
          <w:lang w:val="en-US"/>
        </w:rPr>
        <w:t xml:space="preserve">within </w:t>
      </w:r>
      <w:r w:rsidR="004C0E14">
        <w:rPr>
          <w:lang w:val="en-US"/>
        </w:rPr>
        <w:t xml:space="preserve">one of the channels </w:t>
      </w:r>
      <w:r w:rsidR="00A74CCC">
        <w:rPr>
          <w:lang w:val="en-US"/>
        </w:rPr>
        <w:t xml:space="preserve">in the configured resource pool and avoid selecting </w:t>
      </w:r>
      <w:r w:rsidR="00205CDB">
        <w:rPr>
          <w:lang w:val="en-US"/>
        </w:rPr>
        <w:t>resources spanning multiple channels</w:t>
      </w:r>
      <w:r w:rsidR="00477784">
        <w:rPr>
          <w:lang w:val="en-US"/>
        </w:rPr>
        <w:t xml:space="preserve"> unless needed for </w:t>
      </w:r>
      <w:r w:rsidR="006A69B2">
        <w:rPr>
          <w:lang w:val="en-US"/>
        </w:rPr>
        <w:t xml:space="preserve">large TB sizes. </w:t>
      </w:r>
    </w:p>
    <w:p w14:paraId="799F5DC4" w14:textId="77777777" w:rsidR="006A69B2" w:rsidRDefault="006A69B2" w:rsidP="00FC4A63">
      <w:pPr>
        <w:pStyle w:val="Doc-text2"/>
        <w:ind w:left="0" w:firstLine="0"/>
        <w:rPr>
          <w:lang w:val="en-US"/>
        </w:rPr>
      </w:pPr>
    </w:p>
    <w:p w14:paraId="683FBCBA" w14:textId="5CD578A1" w:rsidR="006E0A52" w:rsidRPr="007B603C" w:rsidRDefault="006A69B2" w:rsidP="007B603C">
      <w:pPr>
        <w:pStyle w:val="Proposal"/>
        <w:rPr>
          <w:rFonts w:eastAsia="MS Mincho"/>
          <w:szCs w:val="24"/>
          <w:lang w:eastAsia="x-none"/>
        </w:rPr>
      </w:pPr>
      <w:bookmarkStart w:id="46" w:name="_Toc127544562"/>
      <w:r>
        <w:t xml:space="preserve">RAN1 specifies enhancements to resource selection </w:t>
      </w:r>
      <w:r w:rsidR="00853DF9">
        <w:t xml:space="preserve">for wideband mode such that </w:t>
      </w:r>
      <w:r w:rsidR="00F80EBB">
        <w:t xml:space="preserve">the selected resources are confined within a single </w:t>
      </w:r>
      <w:r w:rsidR="00535BB6">
        <w:t xml:space="preserve">channel unless </w:t>
      </w:r>
      <w:r w:rsidR="00D16E4F">
        <w:t>TB size demands otherwise.</w:t>
      </w:r>
      <w:bookmarkEnd w:id="46"/>
      <w:r w:rsidR="00D16E4F">
        <w:t xml:space="preserve"> </w:t>
      </w:r>
    </w:p>
    <w:p w14:paraId="2F48F636" w14:textId="1373EE2C" w:rsidR="00C16C62" w:rsidRPr="00994C23" w:rsidRDefault="00C16C62" w:rsidP="00C16C62">
      <w:pPr>
        <w:pStyle w:val="Heading2"/>
      </w:pPr>
      <w:r w:rsidRPr="006E4E14">
        <w:t>3.3</w:t>
      </w:r>
      <w:r w:rsidRPr="006E4E14">
        <w:tab/>
        <w:t>Multi-slot transmissions</w:t>
      </w:r>
    </w:p>
    <w:p w14:paraId="1D1A4019" w14:textId="77777777" w:rsidR="00C16C62" w:rsidRDefault="00C16C62" w:rsidP="00C16C62">
      <w:pPr>
        <w:jc w:val="both"/>
        <w:rPr>
          <w:rFonts w:eastAsia="MS Mincho"/>
          <w:szCs w:val="24"/>
          <w:lang w:eastAsia="x-none"/>
        </w:rPr>
      </w:pPr>
      <w:r>
        <w:rPr>
          <w:rFonts w:eastAsia="MS Mincho"/>
          <w:szCs w:val="24"/>
          <w:lang w:eastAsia="x-none"/>
        </w:rPr>
        <w:t>In RAN1#110, the following was agreed:</w:t>
      </w:r>
    </w:p>
    <w:tbl>
      <w:tblPr>
        <w:tblStyle w:val="TableGrid"/>
        <w:tblW w:w="0" w:type="auto"/>
        <w:tblLook w:val="04A0" w:firstRow="1" w:lastRow="0" w:firstColumn="1" w:lastColumn="0" w:noHBand="0" w:noVBand="1"/>
      </w:tblPr>
      <w:tblGrid>
        <w:gridCol w:w="9629"/>
      </w:tblGrid>
      <w:tr w:rsidR="00820145" w14:paraId="153BBC48" w14:textId="77777777" w:rsidTr="002A2D64">
        <w:tc>
          <w:tcPr>
            <w:tcW w:w="9629" w:type="dxa"/>
          </w:tcPr>
          <w:p w14:paraId="1319C7B1" w14:textId="77777777" w:rsidR="00C16C62" w:rsidRPr="006E4E14" w:rsidRDefault="00C16C62" w:rsidP="002A2D64">
            <w:pPr>
              <w:autoSpaceDE w:val="0"/>
              <w:autoSpaceDN w:val="0"/>
              <w:spacing w:after="0" w:line="240" w:lineRule="auto"/>
              <w:jc w:val="both"/>
              <w:rPr>
                <w:rFonts w:ascii="Calibri" w:eastAsia="SimSun" w:hAnsi="Calibri" w:cs="Calibri"/>
                <w:sz w:val="20"/>
                <w:szCs w:val="20"/>
                <w:lang w:eastAsia="zh-CN"/>
              </w:rPr>
            </w:pPr>
            <w:r w:rsidRPr="00D212D7">
              <w:rPr>
                <w:rFonts w:ascii="Times New Roman" w:eastAsia="SimSun" w:hAnsi="Times New Roman" w:cs="Times New Roman"/>
                <w:b/>
                <w:bCs/>
                <w:szCs w:val="20"/>
                <w:highlight w:val="green"/>
                <w:lang w:eastAsia="zh-CN"/>
              </w:rPr>
              <w:t>Agreement</w:t>
            </w:r>
          </w:p>
          <w:p w14:paraId="5F0E8526" w14:textId="77777777" w:rsidR="00C16C62" w:rsidRPr="006E4E14" w:rsidRDefault="00C16C62" w:rsidP="002A2D64">
            <w:pPr>
              <w:autoSpaceDE w:val="0"/>
              <w:autoSpaceDN w:val="0"/>
              <w:spacing w:after="0" w:line="240" w:lineRule="auto"/>
              <w:jc w:val="both"/>
              <w:rPr>
                <w:rFonts w:ascii="Times New Roman" w:eastAsia="Batang" w:hAnsi="Times New Roman" w:cs="Times New Roman"/>
                <w:sz w:val="20"/>
                <w:szCs w:val="20"/>
                <w:lang w:val="en-GB" w:eastAsia="x-none"/>
              </w:rPr>
            </w:pPr>
            <w:r w:rsidRPr="00D212D7">
              <w:rPr>
                <w:rFonts w:ascii="Times New Roman" w:eastAsia="Batang" w:hAnsi="Times New Roman" w:cs="Times New Roman"/>
                <w:szCs w:val="20"/>
                <w:lang w:val="en-GB" w:eastAsia="x-none"/>
              </w:rPr>
              <w:t>Multi-consecutive slots transmission (MCSt) is supported for Mode 1 and Mode 2 resource allocation in SL-U.</w:t>
            </w:r>
          </w:p>
          <w:p w14:paraId="65E6EC16" w14:textId="77777777" w:rsidR="00C16C62" w:rsidRPr="006E4E14" w:rsidRDefault="00C16C62" w:rsidP="002A2D64">
            <w:pPr>
              <w:numPr>
                <w:ilvl w:val="0"/>
                <w:numId w:val="27"/>
              </w:numPr>
              <w:autoSpaceDE w:val="0"/>
              <w:autoSpaceDN w:val="0"/>
              <w:spacing w:after="0" w:line="240" w:lineRule="auto"/>
              <w:jc w:val="both"/>
              <w:rPr>
                <w:rFonts w:ascii="Times New Roman" w:eastAsia="Batang" w:hAnsi="Times New Roman" w:cs="Times New Roman"/>
                <w:sz w:val="20"/>
                <w:szCs w:val="20"/>
                <w:lang w:val="en-GB" w:eastAsia="x-none"/>
              </w:rPr>
            </w:pPr>
            <w:r w:rsidRPr="00D212D7">
              <w:rPr>
                <w:rFonts w:ascii="Times New Roman" w:eastAsia="Batang" w:hAnsi="Times New Roman" w:cs="Times New Roman"/>
                <w:szCs w:val="20"/>
                <w:lang w:val="en-AU" w:eastAsia="x-none"/>
              </w:rPr>
              <w:t xml:space="preserve">FFS details </w:t>
            </w:r>
          </w:p>
          <w:p w14:paraId="6C189A23" w14:textId="77777777" w:rsidR="0043094C" w:rsidRPr="006E4E14" w:rsidRDefault="0043094C" w:rsidP="0043094C">
            <w:pPr>
              <w:autoSpaceDE w:val="0"/>
              <w:autoSpaceDN w:val="0"/>
              <w:spacing w:after="0" w:line="240" w:lineRule="auto"/>
              <w:jc w:val="both"/>
              <w:rPr>
                <w:rFonts w:ascii="Times New Roman" w:eastAsia="Batang" w:hAnsi="Times New Roman" w:cs="Times New Roman"/>
                <w:sz w:val="20"/>
                <w:szCs w:val="20"/>
                <w:lang w:val="en-AU" w:eastAsia="x-none"/>
              </w:rPr>
            </w:pPr>
          </w:p>
          <w:p w14:paraId="06DE1A25" w14:textId="77777777" w:rsidR="0043094C" w:rsidRPr="00D212D7" w:rsidRDefault="0043094C" w:rsidP="0043094C">
            <w:pPr>
              <w:autoSpaceDE w:val="0"/>
              <w:autoSpaceDN w:val="0"/>
              <w:jc w:val="both"/>
              <w:rPr>
                <w:rFonts w:ascii="Times New Roman" w:hAnsi="Times New Roman" w:cs="Times New Roman"/>
                <w:sz w:val="20"/>
                <w:szCs w:val="20"/>
              </w:rPr>
            </w:pPr>
            <w:r w:rsidRPr="00D212D7">
              <w:rPr>
                <w:rFonts w:ascii="Times New Roman" w:hAnsi="Times New Roman" w:cs="Times New Roman"/>
                <w:b/>
                <w:bCs/>
                <w:iCs/>
                <w:szCs w:val="20"/>
                <w:highlight w:val="green"/>
              </w:rPr>
              <w:t>Agreement</w:t>
            </w:r>
          </w:p>
          <w:p w14:paraId="119DA070" w14:textId="77777777" w:rsidR="0043094C" w:rsidRPr="00D212D7" w:rsidRDefault="0043094C" w:rsidP="0043094C">
            <w:pPr>
              <w:rPr>
                <w:rFonts w:ascii="Times New Roman" w:hAnsi="Times New Roman" w:cs="Times New Roman"/>
                <w:sz w:val="20"/>
                <w:szCs w:val="20"/>
                <w:lang w:eastAsia="x-none"/>
              </w:rPr>
            </w:pPr>
            <w:r w:rsidRPr="00D212D7">
              <w:rPr>
                <w:rFonts w:ascii="Times New Roman" w:hAnsi="Times New Roman" w:cs="Times New Roman"/>
                <w:szCs w:val="20"/>
                <w:lang w:eastAsia="x-none"/>
              </w:rPr>
              <w:t>On the support of MCSt operation in SL-U, following options are to be further studied and one or more of the following options will be selected in future meetings.</w:t>
            </w:r>
          </w:p>
          <w:p w14:paraId="6720957E" w14:textId="77777777" w:rsidR="0043094C" w:rsidRPr="006E4E14" w:rsidRDefault="0043094C" w:rsidP="0043094C">
            <w:pPr>
              <w:pStyle w:val="ListParagraph"/>
              <w:numPr>
                <w:ilvl w:val="0"/>
                <w:numId w:val="60"/>
              </w:numPr>
              <w:autoSpaceDE w:val="0"/>
              <w:autoSpaceDN w:val="0"/>
              <w:adjustRightInd w:val="0"/>
              <w:snapToGrid w:val="0"/>
              <w:spacing w:line="276" w:lineRule="auto"/>
              <w:ind w:leftChars="100" w:left="560"/>
              <w:jc w:val="both"/>
              <w:rPr>
                <w:rFonts w:ascii="Times New Roman" w:hAnsi="Times New Roman"/>
                <w:sz w:val="20"/>
                <w:szCs w:val="20"/>
              </w:rPr>
            </w:pPr>
            <w:r w:rsidRPr="006E4E14">
              <w:rPr>
                <w:rFonts w:ascii="Times New Roman" w:hAnsi="Times New Roman"/>
                <w:sz w:val="20"/>
                <w:szCs w:val="20"/>
              </w:rPr>
              <w:t>When L1 is triggered for reporting a subset of candidate resources for MCSt,</w:t>
            </w:r>
          </w:p>
          <w:p w14:paraId="6813F470"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Option 1: Only one set of parameters (</w:t>
            </w:r>
            <m:oMath>
              <m:r>
                <w:rPr>
                  <w:rFonts w:ascii="Cambria Math" w:hAnsi="Cambria Math" w:cs="Calibri"/>
                  <w:sz w:val="20"/>
                  <w:szCs w:val="20"/>
                  <w:lang w:val="en-US"/>
                </w:rPr>
                <m:t>pri</m:t>
              </m:r>
              <m:sSub>
                <m:sSubPr>
                  <m:ctrlPr>
                    <w:rPr>
                      <w:rFonts w:ascii="Cambria Math" w:hAnsi="Cambria Math" w:cs="Calibri"/>
                      <w:i/>
                      <w:iCs/>
                      <w:sz w:val="20"/>
                      <w:szCs w:val="20"/>
                      <w:lang w:val="en-US"/>
                    </w:rPr>
                  </m:ctrlPr>
                </m:sSubPr>
                <m:e>
                  <m:r>
                    <w:rPr>
                      <w:rFonts w:ascii="Cambria Math" w:hAnsi="Cambria Math" w:cs="Calibri"/>
                      <w:sz w:val="20"/>
                      <w:szCs w:val="20"/>
                      <w:lang w:val="en-US"/>
                    </w:rPr>
                    <m:t>o</m:t>
                  </m:r>
                </m:e>
                <m:sub>
                  <m:r>
                    <w:rPr>
                      <w:rFonts w:ascii="Cambria Math" w:hAnsi="Cambria Math" w:cs="Calibri"/>
                      <w:sz w:val="20"/>
                      <w:szCs w:val="20"/>
                      <w:lang w:val="en-US"/>
                    </w:rPr>
                    <m:t>TX</m:t>
                  </m:r>
                </m:sub>
              </m:sSub>
            </m:oMath>
            <w:r w:rsidRPr="006E4E14">
              <w:rPr>
                <w:rFonts w:ascii="Times New Roman" w:hAnsi="Times New Roman"/>
                <w:sz w:val="20"/>
                <w:szCs w:val="20"/>
                <w:lang w:val="en-US"/>
              </w:rPr>
              <w:t xml:space="preserve">, remaining PDB,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L</m:t>
                  </m:r>
                </m:e>
                <m:sub>
                  <m:r>
                    <m:rPr>
                      <m:nor/>
                    </m:rPr>
                    <w:rPr>
                      <w:rFonts w:cs="Calibri"/>
                      <w:sz w:val="20"/>
                      <w:szCs w:val="20"/>
                      <w:lang w:val="en-US"/>
                    </w:rPr>
                    <m:t>subCH</m:t>
                  </m:r>
                </m:sub>
              </m:sSub>
            </m:oMath>
            <w:r w:rsidRPr="006E4E14">
              <w:rPr>
                <w:rFonts w:ascii="Times New Roman" w:hAnsi="Times New Roman"/>
                <w:sz w:val="20"/>
                <w:szCs w:val="20"/>
                <w:lang w:val="en-US"/>
              </w:rPr>
              <w:t xml:space="preserve"> and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P</m:t>
                  </m:r>
                </m:e>
                <m:sub>
                  <m:r>
                    <m:rPr>
                      <m:nor/>
                    </m:rPr>
                    <w:rPr>
                      <w:rFonts w:cs="Calibri"/>
                      <w:sz w:val="20"/>
                      <w:szCs w:val="20"/>
                      <w:lang w:val="en-US"/>
                    </w:rPr>
                    <m:t>rsvp_TX</m:t>
                  </m:r>
                </m:sub>
              </m:sSub>
            </m:oMath>
            <w:r w:rsidRPr="006E4E14">
              <w:rPr>
                <w:rFonts w:ascii="Times New Roman" w:hAnsi="Times New Roman"/>
                <w:sz w:val="20"/>
                <w:szCs w:val="20"/>
                <w:lang w:val="en-US"/>
              </w:rPr>
              <w:t>) is provided for the resource selection procedure in L1</w:t>
            </w:r>
          </w:p>
          <w:p w14:paraId="60955B94"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rPr>
            </w:pPr>
            <w:r w:rsidRPr="006E4E14">
              <w:rPr>
                <w:rFonts w:ascii="Times New Roman" w:hAnsi="Times New Roman"/>
                <w:sz w:val="20"/>
                <w:szCs w:val="20"/>
              </w:rPr>
              <w:t>Note, this is applicable for transmission of a single TB and multiple TBs</w:t>
            </w:r>
          </w:p>
          <w:p w14:paraId="5CE7365F"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rPr>
            </w:pPr>
            <w:r w:rsidRPr="006E4E14">
              <w:rPr>
                <w:rFonts w:ascii="Times New Roman" w:hAnsi="Times New Roman"/>
                <w:sz w:val="20"/>
                <w:szCs w:val="20"/>
              </w:rPr>
              <w:t>FFS: whether this is the same or different than Rel-16</w:t>
            </w:r>
          </w:p>
          <w:p w14:paraId="2D1DD326"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Option 2: one or multiple sets of parameters (</w:t>
            </w:r>
            <m:oMath>
              <m:r>
                <w:rPr>
                  <w:rFonts w:ascii="Cambria Math" w:hAnsi="Cambria Math" w:cs="Calibri"/>
                  <w:sz w:val="20"/>
                  <w:szCs w:val="20"/>
                  <w:lang w:val="en-US"/>
                </w:rPr>
                <m:t>pri</m:t>
              </m:r>
              <m:sSub>
                <m:sSubPr>
                  <m:ctrlPr>
                    <w:rPr>
                      <w:rFonts w:ascii="Cambria Math" w:hAnsi="Cambria Math" w:cs="Calibri"/>
                      <w:i/>
                      <w:iCs/>
                      <w:sz w:val="20"/>
                      <w:szCs w:val="20"/>
                      <w:lang w:val="en-US"/>
                    </w:rPr>
                  </m:ctrlPr>
                </m:sSubPr>
                <m:e>
                  <m:r>
                    <w:rPr>
                      <w:rFonts w:ascii="Cambria Math" w:hAnsi="Cambria Math" w:cs="Calibri"/>
                      <w:sz w:val="20"/>
                      <w:szCs w:val="20"/>
                      <w:lang w:val="en-US"/>
                    </w:rPr>
                    <m:t>o</m:t>
                  </m:r>
                </m:e>
                <m:sub>
                  <m:r>
                    <w:rPr>
                      <w:rFonts w:ascii="Cambria Math" w:hAnsi="Cambria Math" w:cs="Calibri"/>
                      <w:sz w:val="20"/>
                      <w:szCs w:val="20"/>
                      <w:lang w:val="en-US"/>
                    </w:rPr>
                    <m:t>TX</m:t>
                  </m:r>
                </m:sub>
              </m:sSub>
            </m:oMath>
            <w:r w:rsidRPr="006E4E14">
              <w:rPr>
                <w:rFonts w:ascii="Times New Roman" w:hAnsi="Times New Roman"/>
                <w:sz w:val="20"/>
                <w:szCs w:val="20"/>
                <w:lang w:val="en-US"/>
              </w:rPr>
              <w:t xml:space="preserve">, remaining PDB,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L</m:t>
                  </m:r>
                </m:e>
                <m:sub>
                  <m:r>
                    <m:rPr>
                      <m:nor/>
                    </m:rPr>
                    <w:rPr>
                      <w:rFonts w:cs="Calibri"/>
                      <w:sz w:val="20"/>
                      <w:szCs w:val="20"/>
                      <w:lang w:val="en-US"/>
                    </w:rPr>
                    <m:t>subCH</m:t>
                  </m:r>
                </m:sub>
              </m:sSub>
            </m:oMath>
            <w:r w:rsidRPr="006E4E14">
              <w:rPr>
                <w:rFonts w:ascii="Times New Roman" w:hAnsi="Times New Roman"/>
                <w:sz w:val="20"/>
                <w:szCs w:val="20"/>
                <w:lang w:val="en-US"/>
              </w:rPr>
              <w:t xml:space="preserve"> and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P</m:t>
                  </m:r>
                </m:e>
                <m:sub>
                  <m:r>
                    <m:rPr>
                      <m:nor/>
                    </m:rPr>
                    <w:rPr>
                      <w:rFonts w:cs="Calibri"/>
                      <w:sz w:val="20"/>
                      <w:szCs w:val="20"/>
                      <w:lang w:val="en-US"/>
                    </w:rPr>
                    <m:t>rsvp_TX</m:t>
                  </m:r>
                </m:sub>
              </m:sSub>
            </m:oMath>
            <w:r w:rsidRPr="006E4E14">
              <w:rPr>
                <w:rFonts w:ascii="Times New Roman" w:hAnsi="Times New Roman"/>
                <w:sz w:val="20"/>
                <w:szCs w:val="20"/>
                <w:lang w:val="en-US"/>
              </w:rPr>
              <w:t>) are provided for the resource selection procedure in L1</w:t>
            </w:r>
          </w:p>
          <w:p w14:paraId="6C3A1D36"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FFS: any further information needs to be provided to L1 for MCSt</w:t>
            </w:r>
          </w:p>
          <w:p w14:paraId="0C7F9A9B" w14:textId="77777777" w:rsidR="0043094C" w:rsidRPr="006E4E14" w:rsidRDefault="0043094C" w:rsidP="0043094C">
            <w:pPr>
              <w:pStyle w:val="ListParagraph"/>
              <w:numPr>
                <w:ilvl w:val="0"/>
                <w:numId w:val="60"/>
              </w:numPr>
              <w:autoSpaceDE w:val="0"/>
              <w:autoSpaceDN w:val="0"/>
              <w:adjustRightInd w:val="0"/>
              <w:snapToGrid w:val="0"/>
              <w:spacing w:line="276" w:lineRule="auto"/>
              <w:ind w:leftChars="100" w:left="560"/>
              <w:jc w:val="both"/>
              <w:rPr>
                <w:rFonts w:ascii="Times New Roman" w:hAnsi="Times New Roman"/>
                <w:sz w:val="20"/>
                <w:szCs w:val="20"/>
              </w:rPr>
            </w:pPr>
            <w:r w:rsidRPr="006E4E14">
              <w:rPr>
                <w:rFonts w:ascii="Times New Roman" w:hAnsi="Times New Roman"/>
                <w:sz w:val="20"/>
                <w:szCs w:val="20"/>
              </w:rPr>
              <w:t>When L1 reports a subset of candidate resources for MCSt,</w:t>
            </w:r>
          </w:p>
          <w:p w14:paraId="165AD4B3"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Option A: L1 reports candidate multi-slot resources in </w:t>
            </w:r>
            <w:r w:rsidRPr="006E4E14">
              <w:rPr>
                <w:rFonts w:ascii="Times New Roman" w:hAnsi="Times New Roman"/>
                <w:i/>
                <w:sz w:val="20"/>
                <w:szCs w:val="20"/>
                <w:lang w:val="en-US"/>
              </w:rPr>
              <w:t>S</w:t>
            </w:r>
            <w:r w:rsidRPr="006E4E14">
              <w:rPr>
                <w:rFonts w:ascii="Times New Roman" w:hAnsi="Times New Roman"/>
                <w:i/>
                <w:sz w:val="20"/>
                <w:szCs w:val="20"/>
                <w:vertAlign w:val="subscript"/>
                <w:lang w:val="en-US"/>
              </w:rPr>
              <w:t>A</w:t>
            </w:r>
            <w:r w:rsidRPr="006E4E14">
              <w:rPr>
                <w:rFonts w:ascii="Times New Roman" w:hAnsi="Times New Roman"/>
                <w:sz w:val="20"/>
                <w:szCs w:val="20"/>
                <w:lang w:val="en-US"/>
              </w:rPr>
              <w:t xml:space="preserve"> where a candidate multi-slot resource consists of a set of single-slot resources that are consecutive in time</w:t>
            </w:r>
          </w:p>
          <w:p w14:paraId="359E86D5"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FFS whether the set of single-slot resources within a candidate multi-slot resource can have different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L</m:t>
                  </m:r>
                </m:e>
                <m:sub>
                  <m:r>
                    <m:rPr>
                      <m:nor/>
                    </m:rPr>
                    <w:rPr>
                      <w:rFonts w:cs="Calibri"/>
                      <w:sz w:val="20"/>
                      <w:szCs w:val="20"/>
                      <w:lang w:val="en-US"/>
                    </w:rPr>
                    <m:t>subCH</m:t>
                  </m:r>
                </m:sub>
              </m:sSub>
            </m:oMath>
            <w:r w:rsidRPr="006E4E14">
              <w:rPr>
                <w:rFonts w:ascii="Times New Roman" w:hAnsi="Times New Roman"/>
                <w:sz w:val="20"/>
                <w:szCs w:val="20"/>
                <w:lang w:val="en-US"/>
              </w:rPr>
              <w:t xml:space="preserve"> sizes</w:t>
            </w:r>
          </w:p>
          <w:p w14:paraId="1DA76EE0"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Option B: L1 reports candidate single-slot resources in (</w:t>
            </w:r>
            <w:r w:rsidRPr="006E4E14">
              <w:rPr>
                <w:rFonts w:ascii="Times New Roman" w:hAnsi="Times New Roman"/>
                <w:i/>
                <w:sz w:val="20"/>
                <w:szCs w:val="20"/>
                <w:lang w:val="en-US"/>
              </w:rPr>
              <w:t>S</w:t>
            </w:r>
            <w:r w:rsidRPr="006E4E14">
              <w:rPr>
                <w:rFonts w:ascii="Times New Roman" w:hAnsi="Times New Roman"/>
                <w:i/>
                <w:sz w:val="20"/>
                <w:szCs w:val="20"/>
                <w:vertAlign w:val="subscript"/>
                <w:lang w:val="en-US"/>
              </w:rPr>
              <w:t>A</w:t>
            </w:r>
            <w:r w:rsidRPr="006E4E14">
              <w:rPr>
                <w:rFonts w:ascii="Times New Roman" w:hAnsi="Times New Roman"/>
                <w:sz w:val="20"/>
                <w:szCs w:val="20"/>
                <w:lang w:val="en-US"/>
              </w:rPr>
              <w:t>) as in Rel-16</w:t>
            </w:r>
          </w:p>
          <w:p w14:paraId="3B554484"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It is up to the higher (MAC) layer to select a set of single-slot resources that are consecutive in logical slots</w:t>
            </w:r>
          </w:p>
          <w:p w14:paraId="51325E2F"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Option C: L1 reports consecutive single-slot candidate resources in </w:t>
            </w:r>
            <w:r w:rsidRPr="006E4E14">
              <w:rPr>
                <w:rFonts w:ascii="Times New Roman" w:hAnsi="Times New Roman"/>
                <w:i/>
                <w:sz w:val="20"/>
                <w:szCs w:val="20"/>
                <w:lang w:val="en-US"/>
              </w:rPr>
              <w:t>S</w:t>
            </w:r>
            <w:r w:rsidRPr="006E4E14">
              <w:rPr>
                <w:rFonts w:ascii="Times New Roman" w:hAnsi="Times New Roman"/>
                <w:i/>
                <w:sz w:val="20"/>
                <w:szCs w:val="20"/>
                <w:vertAlign w:val="subscript"/>
                <w:lang w:val="en-US"/>
              </w:rPr>
              <w:t>A</w:t>
            </w:r>
          </w:p>
          <w:p w14:paraId="14540FF0" w14:textId="77777777" w:rsidR="0043094C" w:rsidRPr="006E4E14" w:rsidRDefault="0043094C" w:rsidP="0043094C">
            <w:pPr>
              <w:pStyle w:val="ListParagraph"/>
              <w:numPr>
                <w:ilvl w:val="2"/>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 xml:space="preserve">FFS whether the consecutive single-slot candidate resources can have different </w:t>
            </w:r>
            <m:oMath>
              <m:sSub>
                <m:sSubPr>
                  <m:ctrlPr>
                    <w:rPr>
                      <w:rFonts w:ascii="Cambria Math" w:hAnsi="Cambria Math" w:cs="Calibri"/>
                      <w:i/>
                      <w:iCs/>
                      <w:sz w:val="20"/>
                      <w:szCs w:val="20"/>
                      <w:lang w:val="en-US"/>
                    </w:rPr>
                  </m:ctrlPr>
                </m:sSubPr>
                <m:e>
                  <m:r>
                    <w:rPr>
                      <w:rFonts w:ascii="Cambria Math" w:hAnsi="Cambria Math" w:cs="Calibri"/>
                      <w:sz w:val="20"/>
                      <w:szCs w:val="20"/>
                      <w:lang w:val="en-US"/>
                    </w:rPr>
                    <m:t>L</m:t>
                  </m:r>
                </m:e>
                <m:sub>
                  <m:r>
                    <m:rPr>
                      <m:nor/>
                    </m:rPr>
                    <w:rPr>
                      <w:rFonts w:cs="Calibri"/>
                      <w:sz w:val="20"/>
                      <w:szCs w:val="20"/>
                      <w:lang w:val="en-US"/>
                    </w:rPr>
                    <m:t>subCH</m:t>
                  </m:r>
                </m:sub>
              </m:sSub>
            </m:oMath>
            <w:r w:rsidRPr="006E4E14">
              <w:rPr>
                <w:rFonts w:ascii="Times New Roman" w:hAnsi="Times New Roman"/>
                <w:sz w:val="20"/>
                <w:szCs w:val="20"/>
                <w:lang w:val="en-US"/>
              </w:rPr>
              <w:t xml:space="preserve"> sizes</w:t>
            </w:r>
          </w:p>
          <w:p w14:paraId="77F41C03"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FFS: any further information needs to be reported to MAC layer, provided to L1 or utilized for MCSt</w:t>
            </w:r>
          </w:p>
          <w:p w14:paraId="6AE39746" w14:textId="77777777" w:rsidR="0043094C" w:rsidRPr="006E4E14" w:rsidRDefault="0043094C" w:rsidP="0043094C">
            <w:pPr>
              <w:pStyle w:val="ListParagraph"/>
              <w:numPr>
                <w:ilvl w:val="1"/>
                <w:numId w:val="60"/>
              </w:numPr>
              <w:autoSpaceDE w:val="0"/>
              <w:autoSpaceDN w:val="0"/>
              <w:adjustRightInd w:val="0"/>
              <w:snapToGrid w:val="0"/>
              <w:spacing w:line="276" w:lineRule="auto"/>
              <w:jc w:val="both"/>
              <w:rPr>
                <w:rFonts w:ascii="Times New Roman" w:hAnsi="Times New Roman"/>
                <w:sz w:val="20"/>
                <w:szCs w:val="20"/>
                <w:lang w:val="en-US"/>
              </w:rPr>
            </w:pPr>
            <w:r w:rsidRPr="006E4E14">
              <w:rPr>
                <w:rFonts w:ascii="Times New Roman" w:hAnsi="Times New Roman"/>
                <w:sz w:val="20"/>
                <w:szCs w:val="20"/>
                <w:lang w:val="en-US"/>
              </w:rPr>
              <w:t>FFS: whether/how to consider the additional LBT time in SL resource allocation</w:t>
            </w:r>
          </w:p>
          <w:p w14:paraId="4B16F751" w14:textId="66FBFCA8" w:rsidR="0043094C" w:rsidRPr="006E4E14" w:rsidRDefault="0043094C" w:rsidP="006E4E14">
            <w:pPr>
              <w:autoSpaceDE w:val="0"/>
              <w:autoSpaceDN w:val="0"/>
              <w:spacing w:after="0" w:line="240" w:lineRule="auto"/>
              <w:jc w:val="both"/>
              <w:rPr>
                <w:rFonts w:ascii="Times New Roman" w:eastAsia="Batang" w:hAnsi="Times New Roman" w:cs="Times New Roman"/>
                <w:szCs w:val="20"/>
                <w:lang w:eastAsia="x-none"/>
              </w:rPr>
            </w:pPr>
          </w:p>
        </w:tc>
      </w:tr>
    </w:tbl>
    <w:p w14:paraId="5E10AA4E" w14:textId="77777777" w:rsidR="00356DF3" w:rsidRPr="00994C23" w:rsidRDefault="00356DF3" w:rsidP="00280833">
      <w:pPr>
        <w:jc w:val="both"/>
        <w:rPr>
          <w:rFonts w:eastAsia="MS Mincho"/>
          <w:szCs w:val="24"/>
          <w:lang w:eastAsia="x-none"/>
        </w:rPr>
      </w:pPr>
    </w:p>
    <w:p w14:paraId="6E028119" w14:textId="5EE9528D" w:rsidR="001C4CCC" w:rsidRPr="00CC75F4" w:rsidRDefault="001C4CCC" w:rsidP="00E70D2A">
      <w:pPr>
        <w:jc w:val="both"/>
      </w:pPr>
      <w:r w:rsidRPr="00CC75F4">
        <w:lastRenderedPageBreak/>
        <w:t xml:space="preserve">In legacy releases of sidelink, when a UE performs the resource selection procedure, it reserves/selects the free resources indicated by its sensing operation in a random manner. However, in order to have multiple consecutive slots transmission, it is needed to ensure that the UE selects the slots contiguously. Based on this main principle, we propose the following UE behavior when performing </w:t>
      </w:r>
      <w:r w:rsidR="00A72BEE" w:rsidRPr="00CC75F4">
        <w:t>m</w:t>
      </w:r>
      <w:r w:rsidRPr="00CC75F4">
        <w:t>ulti-consecutive slots transmission (MCSt) of different TBs:</w:t>
      </w:r>
    </w:p>
    <w:p w14:paraId="1E2C619C" w14:textId="3E8C3C6C" w:rsidR="001C4CCC" w:rsidRPr="00CC75F4" w:rsidRDefault="00A72BEE" w:rsidP="0032676F">
      <w:pPr>
        <w:pStyle w:val="ListParagraph"/>
        <w:numPr>
          <w:ilvl w:val="0"/>
          <w:numId w:val="59"/>
        </w:numPr>
        <w:jc w:val="both"/>
        <w:rPr>
          <w:rFonts w:cs="Arial"/>
          <w:szCs w:val="20"/>
        </w:rPr>
      </w:pPr>
      <w:r w:rsidRPr="00CC75F4">
        <w:rPr>
          <w:rFonts w:ascii="Arial" w:hAnsi="Arial" w:cs="Arial"/>
          <w:sz w:val="20"/>
          <w:szCs w:val="20"/>
        </w:rPr>
        <w:t>A UE triggers the operation of performing MCSt and performs the resource reservation in order to select resources in a consecutive manner, i.e., it needs to find suitable resources which can be used transmit the multiple slots consecutively.</w:t>
      </w:r>
      <w:r w:rsidR="0032601F" w:rsidRPr="00CC75F4">
        <w:rPr>
          <w:rFonts w:ascii="Arial" w:hAnsi="Arial" w:cs="Arial"/>
          <w:sz w:val="20"/>
          <w:szCs w:val="20"/>
        </w:rPr>
        <w:t xml:space="preserve"> This procedure is illustrated in Figure </w:t>
      </w:r>
      <w:r w:rsidR="00E70D2A">
        <w:rPr>
          <w:rFonts w:ascii="Arial" w:hAnsi="Arial" w:cs="Arial"/>
          <w:sz w:val="20"/>
          <w:szCs w:val="20"/>
          <w:lang w:val="en-US"/>
        </w:rPr>
        <w:t>9</w:t>
      </w:r>
      <w:r w:rsidR="0032601F" w:rsidRPr="00CC75F4">
        <w:rPr>
          <w:rFonts w:ascii="Arial" w:hAnsi="Arial" w:cs="Arial"/>
          <w:sz w:val="20"/>
          <w:szCs w:val="20"/>
        </w:rPr>
        <w:t>.</w:t>
      </w:r>
    </w:p>
    <w:p w14:paraId="4F787FD3" w14:textId="0FE2C409" w:rsidR="0032601F" w:rsidRPr="00CC75F4" w:rsidRDefault="00DE60C7" w:rsidP="00CC75F4">
      <w:pPr>
        <w:jc w:val="center"/>
      </w:pPr>
      <w:r>
        <w:rPr>
          <w:noProof/>
        </w:rPr>
        <w:drawing>
          <wp:inline distT="0" distB="0" distL="0" distR="0" wp14:anchorId="37CD401A" wp14:editId="5821001B">
            <wp:extent cx="5817247" cy="283210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45105" cy="2845663"/>
                    </a:xfrm>
                    <a:prstGeom prst="rect">
                      <a:avLst/>
                    </a:prstGeom>
                    <a:noFill/>
                  </pic:spPr>
                </pic:pic>
              </a:graphicData>
            </a:graphic>
          </wp:inline>
        </w:drawing>
      </w:r>
    </w:p>
    <w:p w14:paraId="6843086B" w14:textId="46D882CB" w:rsidR="0032601F" w:rsidRPr="00CC75F4" w:rsidRDefault="0032601F" w:rsidP="00CC75F4">
      <w:pPr>
        <w:pStyle w:val="Caption"/>
        <w:jc w:val="center"/>
      </w:pPr>
      <w:r w:rsidRPr="00CC75F4">
        <w:t xml:space="preserve">Figure </w:t>
      </w:r>
      <w:r w:rsidRPr="00CC75F4">
        <w:fldChar w:fldCharType="begin"/>
      </w:r>
      <w:r w:rsidRPr="00CC75F4">
        <w:instrText xml:space="preserve"> SEQ Figure \* ARABIC </w:instrText>
      </w:r>
      <w:r w:rsidRPr="00CC75F4">
        <w:fldChar w:fldCharType="separate"/>
      </w:r>
      <w:r w:rsidR="00466B55">
        <w:rPr>
          <w:noProof/>
        </w:rPr>
        <w:t>9</w:t>
      </w:r>
      <w:r w:rsidRPr="00CC75F4">
        <w:fldChar w:fldCharType="end"/>
      </w:r>
      <w:r w:rsidRPr="00CC75F4">
        <w:t>: General multi-consecutive slots transmission procedure</w:t>
      </w:r>
    </w:p>
    <w:p w14:paraId="2609C257" w14:textId="24F6D9CC" w:rsidR="00A72BEE" w:rsidRPr="00CC75F4" w:rsidRDefault="00A72BEE" w:rsidP="00AD3670">
      <w:pPr>
        <w:pStyle w:val="ListParagraph"/>
        <w:numPr>
          <w:ilvl w:val="0"/>
          <w:numId w:val="59"/>
        </w:numPr>
        <w:jc w:val="both"/>
        <w:rPr>
          <w:rFonts w:cs="Arial"/>
          <w:szCs w:val="20"/>
        </w:rPr>
      </w:pPr>
      <w:r w:rsidRPr="00CC75F4">
        <w:rPr>
          <w:rFonts w:ascii="Arial" w:hAnsi="Arial" w:cs="Arial"/>
          <w:sz w:val="20"/>
          <w:szCs w:val="20"/>
        </w:rPr>
        <w:t>If a UE has reserved resources for one transmission, e.g., TB1, and during the procedure of re-evaluation, i.e., before actually transmitting TB1, it receives an indication from higher layers that a new TB is ready to be transmitted, e.g</w:t>
      </w:r>
      <w:r w:rsidR="00E76F65" w:rsidRPr="00CC75F4">
        <w:rPr>
          <w:rFonts w:ascii="Arial" w:hAnsi="Arial" w:cs="Arial"/>
          <w:sz w:val="20"/>
          <w:szCs w:val="20"/>
        </w:rPr>
        <w:t>.</w:t>
      </w:r>
      <w:r w:rsidRPr="00CC75F4">
        <w:rPr>
          <w:rFonts w:ascii="Arial" w:hAnsi="Arial" w:cs="Arial"/>
          <w:sz w:val="20"/>
          <w:szCs w:val="20"/>
        </w:rPr>
        <w:t xml:space="preserve">, TB2, the UE reserves the resources for TB2 consecutive to the resources reserved for transmission of TB1. In case there are not available slots consecutive to the reserved resources for TB1, the UE might trigger reselection in order to find suitable resources for </w:t>
      </w:r>
      <w:r w:rsidR="00F02901" w:rsidRPr="00CC75F4">
        <w:rPr>
          <w:rFonts w:ascii="Arial" w:hAnsi="Arial" w:cs="Arial"/>
          <w:sz w:val="20"/>
          <w:szCs w:val="20"/>
        </w:rPr>
        <w:t>m</w:t>
      </w:r>
      <w:r w:rsidRPr="00CC75F4">
        <w:rPr>
          <w:rFonts w:ascii="Arial" w:hAnsi="Arial" w:cs="Arial"/>
          <w:sz w:val="20"/>
          <w:szCs w:val="20"/>
        </w:rPr>
        <w:t>ulti-consecutive slots transmission of TB1 and TB2.</w:t>
      </w:r>
      <w:r w:rsidR="00661FA9" w:rsidRPr="00CC75F4">
        <w:rPr>
          <w:rFonts w:ascii="Arial" w:hAnsi="Arial" w:cs="Arial"/>
          <w:sz w:val="20"/>
          <w:szCs w:val="20"/>
        </w:rPr>
        <w:t xml:space="preserve"> This procedure is illustrated in Figure </w:t>
      </w:r>
      <w:r w:rsidR="00E70D2A">
        <w:rPr>
          <w:rFonts w:ascii="Arial" w:hAnsi="Arial" w:cs="Arial"/>
          <w:sz w:val="20"/>
          <w:szCs w:val="20"/>
          <w:lang w:val="en-US"/>
        </w:rPr>
        <w:t>10</w:t>
      </w:r>
      <w:r w:rsidR="00661FA9" w:rsidRPr="00CC75F4">
        <w:rPr>
          <w:rFonts w:ascii="Arial" w:hAnsi="Arial" w:cs="Arial"/>
          <w:sz w:val="20"/>
          <w:szCs w:val="20"/>
        </w:rPr>
        <w:t>.</w:t>
      </w:r>
    </w:p>
    <w:p w14:paraId="2649B77C" w14:textId="6E6E0D66" w:rsidR="00661FA9" w:rsidRDefault="00DE60C7" w:rsidP="00CC75F4">
      <w:pPr>
        <w:jc w:val="center"/>
      </w:pPr>
      <w:r>
        <w:rPr>
          <w:noProof/>
        </w:rPr>
        <w:drawing>
          <wp:inline distT="0" distB="0" distL="0" distR="0" wp14:anchorId="7A2DC05F" wp14:editId="1277A4BC">
            <wp:extent cx="5330954" cy="251904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61944" cy="2533685"/>
                    </a:xfrm>
                    <a:prstGeom prst="rect">
                      <a:avLst/>
                    </a:prstGeom>
                    <a:noFill/>
                  </pic:spPr>
                </pic:pic>
              </a:graphicData>
            </a:graphic>
          </wp:inline>
        </w:drawing>
      </w:r>
    </w:p>
    <w:p w14:paraId="21104905" w14:textId="2D0E236E" w:rsidR="00661FA9" w:rsidRDefault="00661FA9" w:rsidP="00CC75F4">
      <w:pPr>
        <w:pStyle w:val="Caption"/>
        <w:jc w:val="center"/>
        <w:rPr>
          <w:rFonts w:eastAsia="MS Mincho"/>
          <w:b w:val="0"/>
          <w:szCs w:val="24"/>
          <w:lang w:eastAsia="x-none"/>
        </w:rPr>
      </w:pPr>
      <w:r>
        <w:t xml:space="preserve">Figure </w:t>
      </w:r>
      <w:r>
        <w:fldChar w:fldCharType="begin"/>
      </w:r>
      <w:r>
        <w:instrText xml:space="preserve"> SEQ Figure \* ARABIC </w:instrText>
      </w:r>
      <w:r>
        <w:fldChar w:fldCharType="separate"/>
      </w:r>
      <w:r w:rsidR="00466B55">
        <w:rPr>
          <w:noProof/>
        </w:rPr>
        <w:t>10</w:t>
      </w:r>
      <w:r>
        <w:fldChar w:fldCharType="end"/>
      </w:r>
      <w:r>
        <w:t xml:space="preserve">: </w:t>
      </w:r>
      <w:r w:rsidR="00B324F3">
        <w:t>multi-consecutive</w:t>
      </w:r>
      <w:r>
        <w:t xml:space="preserve"> slot transmission after performing reselection of resources.</w:t>
      </w:r>
    </w:p>
    <w:p w14:paraId="46746F2B" w14:textId="258A3575" w:rsidR="00F02901" w:rsidRPr="00F02901" w:rsidRDefault="00A72BEE" w:rsidP="00F02901">
      <w:pPr>
        <w:pStyle w:val="Proposal"/>
      </w:pPr>
      <w:bookmarkStart w:id="47" w:name="_Toc127544563"/>
      <w:r>
        <w:t>When a UE triggers the operation of m</w:t>
      </w:r>
      <w:r w:rsidRPr="00A72BEE">
        <w:t>ulti-consecutive slots transmission</w:t>
      </w:r>
      <w:r>
        <w:t xml:space="preserve">, it performs the resource reservation procedure ensuring the allocation of consecutive resources for </w:t>
      </w:r>
      <w:r>
        <w:lastRenderedPageBreak/>
        <w:t>multiple TBs.</w:t>
      </w:r>
      <w:r w:rsidR="00F02901">
        <w:t xml:space="preserve"> </w:t>
      </w:r>
      <w:r w:rsidR="00F02901" w:rsidRPr="00F02901">
        <w:t>In case there are not</w:t>
      </w:r>
      <w:r w:rsidR="00E76F65">
        <w:t xml:space="preserve"> contiguous</w:t>
      </w:r>
      <w:r w:rsidR="00F02901" w:rsidRPr="00F02901">
        <w:t xml:space="preserve"> slots available to the already reserved ones</w:t>
      </w:r>
      <w:r w:rsidR="00F02901">
        <w:t>, t</w:t>
      </w:r>
      <w:r w:rsidR="00F02901" w:rsidRPr="00F02901">
        <w:t xml:space="preserve">he UE </w:t>
      </w:r>
      <w:r w:rsidR="00D76BC4">
        <w:t xml:space="preserve">might </w:t>
      </w:r>
      <w:r w:rsidR="00F02901" w:rsidRPr="00F02901">
        <w:t>trigger resource reselection for all the TBs.</w:t>
      </w:r>
      <w:bookmarkEnd w:id="47"/>
    </w:p>
    <w:p w14:paraId="77FD4E03" w14:textId="076EDF2B" w:rsidR="00547778" w:rsidRPr="00547778" w:rsidRDefault="00547778" w:rsidP="00AD3670">
      <w:pPr>
        <w:jc w:val="both"/>
      </w:pPr>
      <w:r>
        <w:t xml:space="preserve">An important aspect is whether the UE should </w:t>
      </w:r>
      <w:r w:rsidR="00AE7F85">
        <w:t xml:space="preserve">perform sensing on </w:t>
      </w:r>
      <w:r w:rsidR="00D91E4F">
        <w:t xml:space="preserve">the multiple slots making up a MCSt </w:t>
      </w:r>
      <w:r w:rsidR="00DC7F20">
        <w:t xml:space="preserve">(Option A) </w:t>
      </w:r>
      <w:r w:rsidR="00D91E4F">
        <w:t>or on individual slots</w:t>
      </w:r>
      <w:r w:rsidR="00DC7F20">
        <w:t xml:space="preserve"> (Option B). In our view, </w:t>
      </w:r>
      <w:r w:rsidR="002F24B9">
        <w:t xml:space="preserve">it is important to reserve resources that overlap with </w:t>
      </w:r>
      <w:r w:rsidR="00E73078">
        <w:t>the</w:t>
      </w:r>
      <w:r w:rsidR="002F24B9">
        <w:t xml:space="preserve"> initial slot of a MCSt. However, once the </w:t>
      </w:r>
      <w:r w:rsidR="00C65DDA">
        <w:t xml:space="preserve">UE has initiated the COT, it should not stop </w:t>
      </w:r>
      <w:r w:rsidR="009E1CDA">
        <w:t>its transmission to leave room for other UEs except in rare circumstances. Option B seems more appropriate for this purpose.</w:t>
      </w:r>
    </w:p>
    <w:p w14:paraId="40843A4B" w14:textId="28C81C8E" w:rsidR="00D76BC4" w:rsidRDefault="009810E3" w:rsidP="00AD3670">
      <w:pPr>
        <w:jc w:val="both"/>
      </w:pPr>
      <w:r>
        <w:t>One</w:t>
      </w:r>
      <w:r w:rsidR="00D76BC4" w:rsidRPr="00CC75F4">
        <w:t xml:space="preserve"> </w:t>
      </w:r>
      <w:r w:rsidR="0029003D">
        <w:t>other</w:t>
      </w:r>
      <w:r w:rsidR="0029003D" w:rsidRPr="00CC75F4">
        <w:t xml:space="preserve"> </w:t>
      </w:r>
      <w:r w:rsidR="00D76BC4" w:rsidRPr="00CC75F4">
        <w:t>important aspect to consider</w:t>
      </w:r>
      <w:r w:rsidR="00D76BC4">
        <w:t xml:space="preserve"> when defining the </w:t>
      </w:r>
      <w:r w:rsidR="00D76BC4" w:rsidRPr="00D76BC4">
        <w:t>multi-consecutive slots transmission</w:t>
      </w:r>
      <w:r w:rsidR="00D76BC4">
        <w:t xml:space="preserve"> procedure is its relationship with the notion of resource reservation. In legacy sidelink operation, once a UE reserves resources it is likely that this resource will be available for transmission (subject to potential pre-emption by other UEs). However, in the case of sidelink in the unlicensed spectrum this assumption is subject to performing LBT prior to the resource transmission. Due to the potential scarce opportunities a UE might have to perform transmissions </w:t>
      </w:r>
      <w:r w:rsidR="00D76BC4" w:rsidRPr="00E53FE3">
        <w:t>due to LBT failure</w:t>
      </w:r>
      <w:r w:rsidR="00D76BC4">
        <w:t xml:space="preserve">, we propose that </w:t>
      </w:r>
      <w:r w:rsidR="00B6622E">
        <w:t>i</w:t>
      </w:r>
      <w:r w:rsidR="00B6622E" w:rsidRPr="00B6622E">
        <w:t>f a UE gets access to the channel, it does not stop transmitting due to reservations with equal or lower priority. If the reservation has higher priority, the UE stops transmitting</w:t>
      </w:r>
      <w:r w:rsidR="00D76BC4">
        <w:t>.</w:t>
      </w:r>
      <w:r w:rsidR="009D679A">
        <w:t xml:space="preserve"> This example is illustrated in Figure </w:t>
      </w:r>
      <w:r w:rsidR="00E70D2A">
        <w:t>11</w:t>
      </w:r>
      <w:r w:rsidR="009D679A">
        <w:t>.</w:t>
      </w:r>
    </w:p>
    <w:p w14:paraId="7A5E8655" w14:textId="77777777" w:rsidR="009D679A" w:rsidRDefault="009D679A" w:rsidP="00CC75F4">
      <w:pPr>
        <w:jc w:val="center"/>
      </w:pPr>
      <w:r>
        <w:rPr>
          <w:noProof/>
        </w:rPr>
        <w:drawing>
          <wp:inline distT="0" distB="0" distL="0" distR="0" wp14:anchorId="3132EFEA" wp14:editId="64D56408">
            <wp:extent cx="5110284" cy="3426615"/>
            <wp:effectExtent l="0" t="0" r="0" b="254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43110" cy="3448626"/>
                    </a:xfrm>
                    <a:prstGeom prst="rect">
                      <a:avLst/>
                    </a:prstGeom>
                    <a:noFill/>
                  </pic:spPr>
                </pic:pic>
              </a:graphicData>
            </a:graphic>
          </wp:inline>
        </w:drawing>
      </w:r>
    </w:p>
    <w:p w14:paraId="2FC3DC01" w14:textId="37E6F9BF" w:rsidR="009D679A" w:rsidRDefault="009D679A" w:rsidP="00CC75F4">
      <w:pPr>
        <w:pStyle w:val="Caption"/>
        <w:jc w:val="center"/>
        <w:rPr>
          <w:rFonts w:eastAsia="MS Mincho"/>
          <w:b w:val="0"/>
          <w:szCs w:val="24"/>
          <w:lang w:eastAsia="x-none"/>
        </w:rPr>
      </w:pPr>
      <w:r>
        <w:t xml:space="preserve">Figure </w:t>
      </w:r>
      <w:r>
        <w:fldChar w:fldCharType="begin"/>
      </w:r>
      <w:r>
        <w:instrText xml:space="preserve"> SEQ Figure \* ARABIC </w:instrText>
      </w:r>
      <w:r>
        <w:fldChar w:fldCharType="separate"/>
      </w:r>
      <w:r w:rsidR="00466B55">
        <w:rPr>
          <w:noProof/>
        </w:rPr>
        <w:t>11</w:t>
      </w:r>
      <w:r>
        <w:fldChar w:fldCharType="end"/>
      </w:r>
      <w:r>
        <w:t xml:space="preserve">: </w:t>
      </w:r>
      <w:r w:rsidR="00B324F3">
        <w:t>multi-consecutive</w:t>
      </w:r>
      <w:r>
        <w:t xml:space="preserve"> slots transmission is performed after disregarding the reservations by other UEs.</w:t>
      </w:r>
    </w:p>
    <w:p w14:paraId="3CB34EFA" w14:textId="3C44188B" w:rsidR="00E2138B" w:rsidRPr="00FE708D" w:rsidRDefault="00E2138B" w:rsidP="00E2138B">
      <w:pPr>
        <w:pStyle w:val="Proposal"/>
      </w:pPr>
      <w:bookmarkStart w:id="48" w:name="_Toc118725966"/>
      <w:bookmarkStart w:id="49" w:name="_Toc118726003"/>
      <w:bookmarkStart w:id="50" w:name="_Toc118726040"/>
      <w:bookmarkStart w:id="51" w:name="_Toc127544564"/>
      <w:bookmarkEnd w:id="48"/>
      <w:bookmarkEnd w:id="49"/>
      <w:bookmarkEnd w:id="50"/>
      <w:r w:rsidRPr="00FE708D">
        <w:t>L1 reports candidate single-slot resources in (SA) as in Rel-16</w:t>
      </w:r>
      <w:r>
        <w:t>:</w:t>
      </w:r>
      <w:bookmarkEnd w:id="51"/>
    </w:p>
    <w:p w14:paraId="45E999D9" w14:textId="77777777" w:rsidR="00E2138B" w:rsidRPr="00FE708D" w:rsidRDefault="00E2138B" w:rsidP="00E2138B">
      <w:pPr>
        <w:pStyle w:val="Proposal"/>
        <w:numPr>
          <w:ilvl w:val="2"/>
          <w:numId w:val="59"/>
        </w:numPr>
      </w:pPr>
      <w:bookmarkStart w:id="52" w:name="_Toc127544565"/>
      <w:r>
        <w:t>Selection of the first resource in a MCSt follows the legacy procedures.</w:t>
      </w:r>
      <w:bookmarkEnd w:id="52"/>
      <w:r>
        <w:t xml:space="preserve"> </w:t>
      </w:r>
    </w:p>
    <w:p w14:paraId="2DBFE92F" w14:textId="77777777" w:rsidR="00E2138B" w:rsidRDefault="00E2138B" w:rsidP="00E2138B">
      <w:pPr>
        <w:pStyle w:val="Proposal"/>
        <w:numPr>
          <w:ilvl w:val="2"/>
          <w:numId w:val="59"/>
        </w:numPr>
      </w:pPr>
      <w:bookmarkStart w:id="53" w:name="_Toc127544566"/>
      <w:r>
        <w:t>For the subsequent resources, the TX UE disregards the reservations (FFS exceptions, based on priority).</w:t>
      </w:r>
      <w:bookmarkEnd w:id="53"/>
    </w:p>
    <w:p w14:paraId="669FF71D" w14:textId="47C3D566" w:rsidR="00D20953" w:rsidRDefault="00D20953" w:rsidP="00CC75F4">
      <w:pPr>
        <w:jc w:val="both"/>
      </w:pPr>
      <w:r>
        <w:t>For this approach</w:t>
      </w:r>
      <w:r w:rsidR="005455DC">
        <w:t>, it suffices to provide one set of parameters for the resource selection procedure in L1.</w:t>
      </w:r>
    </w:p>
    <w:p w14:paraId="348F1C42" w14:textId="1FB7D94C" w:rsidR="005455DC" w:rsidRDefault="005455DC" w:rsidP="005455DC">
      <w:pPr>
        <w:pStyle w:val="Proposal"/>
      </w:pPr>
      <w:bookmarkStart w:id="54" w:name="_Toc127544567"/>
      <w:r>
        <w:t>Only one set of parameters is provided for resource selection in L1 (Option 1)</w:t>
      </w:r>
      <w:r w:rsidR="00473053">
        <w:t>.</w:t>
      </w:r>
      <w:bookmarkEnd w:id="54"/>
    </w:p>
    <w:p w14:paraId="0EBAB4E1" w14:textId="65CF2985" w:rsidR="005455DC" w:rsidRDefault="00F57F6A" w:rsidP="00CC75F4">
      <w:pPr>
        <w:jc w:val="both"/>
      </w:pPr>
      <w:r>
        <w:t>In addition, the L1 need only report candidate multi-slots in S</w:t>
      </w:r>
      <w:r w:rsidRPr="0032676F">
        <w:rPr>
          <w:vertAlign w:val="subscript"/>
        </w:rPr>
        <w:t>A</w:t>
      </w:r>
      <w:r w:rsidR="00D03B1C">
        <w:t>.</w:t>
      </w:r>
    </w:p>
    <w:p w14:paraId="588219C4" w14:textId="20C94726" w:rsidR="00D03B1C" w:rsidRPr="00D03B1C" w:rsidRDefault="00D03B1C" w:rsidP="0032676F">
      <w:pPr>
        <w:pStyle w:val="Proposal"/>
      </w:pPr>
      <w:bookmarkStart w:id="55" w:name="_Toc127544568"/>
      <w:r>
        <w:t xml:space="preserve">L1 reports a subset </w:t>
      </w:r>
      <w:r w:rsidR="00E352B9">
        <w:t>(S</w:t>
      </w:r>
      <w:r w:rsidR="00E352B9" w:rsidRPr="0032676F">
        <w:rPr>
          <w:vertAlign w:val="subscript"/>
        </w:rPr>
        <w:t>A</w:t>
      </w:r>
      <w:r w:rsidR="00E352B9">
        <w:t xml:space="preserve">) </w:t>
      </w:r>
      <w:r>
        <w:t xml:space="preserve">of candidate </w:t>
      </w:r>
      <w:r w:rsidR="00E352B9">
        <w:t xml:space="preserve">multislot </w:t>
      </w:r>
      <w:r>
        <w:t>resources for MCSt</w:t>
      </w:r>
      <w:r w:rsidR="00E352B9">
        <w:t xml:space="preserve"> (</w:t>
      </w:r>
      <w:r>
        <w:t>Option A</w:t>
      </w:r>
      <w:r w:rsidR="00E352B9">
        <w:t>)</w:t>
      </w:r>
      <w:bookmarkEnd w:id="55"/>
    </w:p>
    <w:p w14:paraId="3A9BC37E" w14:textId="2108B8A3" w:rsidR="00B6622E" w:rsidRDefault="009810E3" w:rsidP="00CC75F4">
      <w:pPr>
        <w:jc w:val="both"/>
      </w:pPr>
      <w:r w:rsidRPr="00CC75F4">
        <w:t>Another important aspect for the multi-consecutive slot</w:t>
      </w:r>
      <w:r>
        <w:t>s</w:t>
      </w:r>
      <w:r w:rsidRPr="00CC75F4">
        <w:t xml:space="preserve"> transmission procedure is the case of re-transmissions</w:t>
      </w:r>
      <w:r>
        <w:t xml:space="preserve">. Following the legacy procedure, every initial transmission will indicate resources for </w:t>
      </w:r>
      <w:r w:rsidR="002351D3">
        <w:t xml:space="preserve">further </w:t>
      </w:r>
      <w:r>
        <w:t>transmissions</w:t>
      </w:r>
      <w:r w:rsidR="002351D3">
        <w:t xml:space="preserve"> (up to 2)</w:t>
      </w:r>
      <w:r>
        <w:t xml:space="preserve">. In the case of </w:t>
      </w:r>
      <w:r w:rsidRPr="00CC75F4">
        <w:t xml:space="preserve">multi-consecutive slots transmission, we propose to have </w:t>
      </w:r>
      <w:r w:rsidR="002351D3">
        <w:t xml:space="preserve">re-use this </w:t>
      </w:r>
      <w:r w:rsidRPr="00CC75F4">
        <w:t xml:space="preserve">procedure. </w:t>
      </w:r>
    </w:p>
    <w:p w14:paraId="4C2450C3" w14:textId="314614F6" w:rsidR="00B6622E" w:rsidRPr="00CC75F4" w:rsidRDefault="00B6622E" w:rsidP="00CC75F4">
      <w:pPr>
        <w:pStyle w:val="Proposal"/>
      </w:pPr>
      <w:bookmarkStart w:id="56" w:name="_Toc127544569"/>
      <w:r w:rsidRPr="00CC75F4">
        <w:lastRenderedPageBreak/>
        <w:t xml:space="preserve">Re-use the legacy procedure where one SCI reserves </w:t>
      </w:r>
      <w:r w:rsidR="00B624D3">
        <w:t>up to</w:t>
      </w:r>
      <w:r w:rsidRPr="00CC75F4">
        <w:t xml:space="preserve"> two resources for further transmissions.</w:t>
      </w:r>
      <w:bookmarkEnd w:id="56"/>
    </w:p>
    <w:p w14:paraId="48409B3F" w14:textId="7F7E5EC3" w:rsidR="009810E3" w:rsidRDefault="00B6622E" w:rsidP="00CC75F4">
      <w:pPr>
        <w:jc w:val="both"/>
      </w:pPr>
      <w:r>
        <w:t>Moreover</w:t>
      </w:r>
      <w:r w:rsidR="009810E3" w:rsidRPr="00CC75F4">
        <w:t xml:space="preserve">, it is important to </w:t>
      </w:r>
      <w:r>
        <w:t>study</w:t>
      </w:r>
      <w:r w:rsidR="009810E3" w:rsidRPr="00CC75F4">
        <w:t xml:space="preserve"> </w:t>
      </w:r>
      <w:r>
        <w:t xml:space="preserve">the </w:t>
      </w:r>
      <w:r w:rsidR="009810E3" w:rsidRPr="00CC75F4">
        <w:t>relationship with the reservation procedure</w:t>
      </w:r>
      <w:r>
        <w:t xml:space="preserve"> and </w:t>
      </w:r>
      <w:r w:rsidR="002351D3">
        <w:t>to study the need of adding more</w:t>
      </w:r>
      <w:r>
        <w:t xml:space="preserve"> flexibility </w:t>
      </w:r>
      <w:r w:rsidR="002351D3">
        <w:t xml:space="preserve">to </w:t>
      </w:r>
      <w:r>
        <w:t xml:space="preserve">the resources </w:t>
      </w:r>
      <w:r w:rsidR="002351D3">
        <w:t xml:space="preserve">that can </w:t>
      </w:r>
      <w:r>
        <w:t xml:space="preserve">be used for </w:t>
      </w:r>
      <w:r w:rsidR="002351D3">
        <w:t>(re)</w:t>
      </w:r>
      <w:r>
        <w:t xml:space="preserve">transmission of multiple TBs, e.g., whether resources that are reserved by a specific TB can be used for </w:t>
      </w:r>
      <w:r w:rsidR="002351D3">
        <w:t>(</w:t>
      </w:r>
      <w:r>
        <w:t>re-</w:t>
      </w:r>
      <w:r w:rsidR="002351D3">
        <w:t>)</w:t>
      </w:r>
      <w:r>
        <w:t>transmission of another TB</w:t>
      </w:r>
      <w:r w:rsidR="002351D3">
        <w:t>,</w:t>
      </w:r>
      <w:r>
        <w:t xml:space="preserve"> and how to maintain </w:t>
      </w:r>
      <w:r w:rsidR="009810E3">
        <w:t>the notion of consecutive slots in this situation</w:t>
      </w:r>
      <w:r w:rsidR="002351D3">
        <w:t>, i.e., minimize the potential impact of LBT</w:t>
      </w:r>
      <w:r w:rsidR="009810E3">
        <w:t>.</w:t>
      </w:r>
    </w:p>
    <w:p w14:paraId="15BE05B7" w14:textId="3F8B58FB" w:rsidR="009810E3" w:rsidRDefault="00F956E7" w:rsidP="0032676F">
      <w:pPr>
        <w:pStyle w:val="Proposal"/>
        <w:spacing w:after="0"/>
      </w:pPr>
      <w:bookmarkStart w:id="57" w:name="_Toc127544570"/>
      <w:r>
        <w:t>R</w:t>
      </w:r>
      <w:r w:rsidR="00B6622E">
        <w:t>esources reserved by PSCCH scheduling one TB can be used for (re)transmission of a different TB</w:t>
      </w:r>
      <w:r w:rsidR="009810E3" w:rsidRPr="00CC75F4">
        <w:t>.</w:t>
      </w:r>
      <w:r w:rsidR="001D70E8">
        <w:t xml:space="preserve"> FFS details.</w:t>
      </w:r>
      <w:bookmarkEnd w:id="57"/>
    </w:p>
    <w:p w14:paraId="36CB5650" w14:textId="6A808E22" w:rsidR="00470FEA" w:rsidRDefault="00DB1EFE" w:rsidP="00986A74">
      <w:pPr>
        <w:pStyle w:val="IvDbodytext"/>
        <w:jc w:val="both"/>
      </w:pPr>
      <w:r>
        <w:t>We also note that the use of MCSt</w:t>
      </w:r>
      <w:r w:rsidR="00915120">
        <w:t xml:space="preserve"> may alter the </w:t>
      </w:r>
      <w:r w:rsidR="00B66BDD">
        <w:t xml:space="preserve">SL HARQ FB procedure. In our view, the MCSt should not be interrupted to allow for PSFCH transmissions. Further details regarding the SL HARQ FB procedure can be found in </w:t>
      </w:r>
      <w:r w:rsidR="0099746F" w:rsidRPr="00D72F36">
        <w:fldChar w:fldCharType="begin"/>
      </w:r>
      <w:r w:rsidR="0099746F" w:rsidRPr="00D72F36">
        <w:instrText xml:space="preserve"> REF _Ref101981861 \r \h </w:instrText>
      </w:r>
      <w:r w:rsidR="00E70D2A" w:rsidRPr="00D72F36">
        <w:instrText xml:space="preserve"> \* MERGEFORMAT </w:instrText>
      </w:r>
      <w:r w:rsidR="0099746F" w:rsidRPr="00D72F36">
        <w:fldChar w:fldCharType="separate"/>
      </w:r>
      <w:r w:rsidR="0099746F" w:rsidRPr="00D72F36">
        <w:t>[3]</w:t>
      </w:r>
      <w:r w:rsidR="0099746F" w:rsidRPr="00D72F36">
        <w:fldChar w:fldCharType="end"/>
      </w:r>
      <w:r w:rsidR="0099746F" w:rsidRPr="00D72F36">
        <w:t>.</w:t>
      </w:r>
      <w:r w:rsidR="00470FEA" w:rsidRPr="00B13580">
        <w:t xml:space="preserve"> </w:t>
      </w:r>
    </w:p>
    <w:p w14:paraId="69ECBEE7" w14:textId="46AF4DEC" w:rsidR="0041676D" w:rsidRDefault="00615E3C" w:rsidP="00615E3C">
      <w:pPr>
        <w:pStyle w:val="Heading3"/>
      </w:pPr>
      <w:r>
        <w:t>3.3.1</w:t>
      </w:r>
      <w:r>
        <w:tab/>
      </w:r>
      <w:r w:rsidR="003A7FDC">
        <w:t>Evaluation results</w:t>
      </w:r>
    </w:p>
    <w:p w14:paraId="344E71D4" w14:textId="130849B4" w:rsidR="007104F6" w:rsidRPr="00000335" w:rsidRDefault="00560C05" w:rsidP="007104F6">
      <w:pPr>
        <w:rPr>
          <w:rFonts w:cs="Arial"/>
          <w:szCs w:val="20"/>
          <w:lang w:eastAsia="ja-JP"/>
        </w:rPr>
      </w:pPr>
      <w:r>
        <w:rPr>
          <w:lang w:eastAsia="ja-JP"/>
        </w:rPr>
        <w:t xml:space="preserve">The </w:t>
      </w:r>
      <w:r w:rsidRPr="00F956E7">
        <w:rPr>
          <w:rFonts w:cs="Arial"/>
          <w:szCs w:val="20"/>
          <w:lang w:eastAsia="ja-JP"/>
        </w:rPr>
        <w:t xml:space="preserve">performance of a system built upon the preceding proposals is illustrated in </w:t>
      </w:r>
      <w:r w:rsidRPr="00000335">
        <w:rPr>
          <w:rFonts w:cs="Arial"/>
          <w:szCs w:val="20"/>
          <w:lang w:eastAsia="ja-JP"/>
        </w:rPr>
        <w:fldChar w:fldCharType="begin"/>
      </w:r>
      <w:r w:rsidRPr="00000335">
        <w:rPr>
          <w:rFonts w:cs="Arial"/>
          <w:szCs w:val="20"/>
          <w:lang w:eastAsia="ja-JP"/>
        </w:rPr>
        <w:instrText xml:space="preserve"> REF _Ref118719012 \h </w:instrText>
      </w:r>
      <w:r w:rsidR="00F90339" w:rsidRPr="00000335">
        <w:rPr>
          <w:rFonts w:cs="Arial"/>
          <w:szCs w:val="20"/>
          <w:lang w:eastAsia="ja-JP"/>
        </w:rPr>
        <w:instrText xml:space="preserve"> \* MERGEFORMAT </w:instrText>
      </w:r>
      <w:r w:rsidRPr="00000335">
        <w:rPr>
          <w:rFonts w:cs="Arial"/>
          <w:szCs w:val="20"/>
          <w:lang w:eastAsia="ja-JP"/>
        </w:rPr>
      </w:r>
      <w:r w:rsidRPr="00000335">
        <w:rPr>
          <w:rFonts w:cs="Arial"/>
          <w:szCs w:val="20"/>
          <w:lang w:eastAsia="ja-JP"/>
        </w:rPr>
        <w:fldChar w:fldCharType="separate"/>
      </w:r>
      <w:r w:rsidR="00862D45" w:rsidRPr="00862D45">
        <w:rPr>
          <w:rFonts w:cs="Arial"/>
          <w:szCs w:val="20"/>
        </w:rPr>
        <w:t xml:space="preserve">Figure </w:t>
      </w:r>
      <w:r w:rsidR="00862D45" w:rsidRPr="0032676F">
        <w:rPr>
          <w:rFonts w:cs="Arial"/>
          <w:szCs w:val="20"/>
        </w:rPr>
        <w:t>12</w:t>
      </w:r>
      <w:r w:rsidRPr="00000335">
        <w:rPr>
          <w:rFonts w:cs="Arial"/>
          <w:szCs w:val="20"/>
          <w:lang w:eastAsia="ja-JP"/>
        </w:rPr>
        <w:fldChar w:fldCharType="end"/>
      </w:r>
      <w:r w:rsidR="00DA53AD">
        <w:rPr>
          <w:rFonts w:cs="Arial"/>
          <w:szCs w:val="20"/>
          <w:lang w:eastAsia="ja-JP"/>
        </w:rPr>
        <w:t xml:space="preserve"> </w:t>
      </w:r>
      <w:r w:rsidR="00DA53AD">
        <w:rPr>
          <w:lang w:eastAsia="ja-JP"/>
        </w:rPr>
        <w:t>(see simulation assumptions in Appendix A.2)</w:t>
      </w:r>
      <w:r w:rsidR="00DD664E" w:rsidRPr="00000335">
        <w:rPr>
          <w:rFonts w:cs="Arial"/>
          <w:szCs w:val="20"/>
          <w:lang w:eastAsia="ja-JP"/>
        </w:rPr>
        <w:t>.</w:t>
      </w:r>
      <w:r w:rsidR="00DD664E" w:rsidRPr="0018081F">
        <w:rPr>
          <w:rFonts w:cs="Arial"/>
          <w:szCs w:val="20"/>
          <w:lang w:eastAsia="ja-JP"/>
        </w:rPr>
        <w:t xml:space="preserve"> We observe</w:t>
      </w:r>
      <w:r w:rsidR="00462F04" w:rsidRPr="0018081F">
        <w:rPr>
          <w:rFonts w:cs="Arial"/>
          <w:szCs w:val="20"/>
          <w:lang w:eastAsia="ja-JP"/>
        </w:rPr>
        <w:t xml:space="preserve"> that:</w:t>
      </w:r>
    </w:p>
    <w:p w14:paraId="0D3D53F3" w14:textId="18517975" w:rsidR="0005794E" w:rsidRPr="00000335" w:rsidRDefault="00462F04" w:rsidP="00000335">
      <w:pPr>
        <w:pStyle w:val="ListParagraph"/>
        <w:numPr>
          <w:ilvl w:val="0"/>
          <w:numId w:val="59"/>
        </w:numPr>
        <w:rPr>
          <w:rFonts w:cs="Arial"/>
          <w:szCs w:val="20"/>
          <w:lang w:eastAsia="ja-JP"/>
        </w:rPr>
      </w:pPr>
      <w:r w:rsidRPr="00000335">
        <w:rPr>
          <w:rFonts w:ascii="Arial" w:hAnsi="Arial" w:cs="Arial"/>
          <w:sz w:val="20"/>
          <w:szCs w:val="20"/>
          <w:lang w:eastAsia="ja-JP"/>
        </w:rPr>
        <w:t>The use of MCSt</w:t>
      </w:r>
      <w:r w:rsidR="00F90339" w:rsidRPr="00000335">
        <w:rPr>
          <w:rFonts w:ascii="Arial" w:hAnsi="Arial" w:cs="Arial"/>
          <w:sz w:val="20"/>
          <w:szCs w:val="20"/>
          <w:lang w:eastAsia="ja-JP"/>
        </w:rPr>
        <w:t xml:space="preserve"> proves</w:t>
      </w:r>
      <w:r w:rsidR="00F90339">
        <w:rPr>
          <w:rFonts w:ascii="Arial" w:hAnsi="Arial" w:cs="Arial"/>
          <w:sz w:val="20"/>
          <w:szCs w:val="20"/>
          <w:lang w:eastAsia="ja-JP"/>
        </w:rPr>
        <w:t xml:space="preserve"> a large improvement in terms </w:t>
      </w:r>
      <w:r w:rsidR="00B51D36">
        <w:rPr>
          <w:rFonts w:ascii="Arial" w:hAnsi="Arial" w:cs="Arial"/>
          <w:sz w:val="20"/>
          <w:szCs w:val="20"/>
          <w:lang w:eastAsia="ja-JP"/>
        </w:rPr>
        <w:t xml:space="preserve">of </w:t>
      </w:r>
      <w:r w:rsidR="00DB6D05">
        <w:rPr>
          <w:rFonts w:ascii="Arial" w:hAnsi="Arial" w:cs="Arial"/>
          <w:sz w:val="20"/>
          <w:szCs w:val="20"/>
          <w:lang w:eastAsia="ja-JP"/>
        </w:rPr>
        <w:t xml:space="preserve">performance. </w:t>
      </w:r>
      <w:r w:rsidR="0073242D">
        <w:rPr>
          <w:rFonts w:ascii="Arial" w:hAnsi="Arial" w:cs="Arial"/>
          <w:sz w:val="20"/>
          <w:szCs w:val="20"/>
          <w:lang w:eastAsia="ja-JP"/>
        </w:rPr>
        <w:t>In general lines, t</w:t>
      </w:r>
      <w:r w:rsidR="00DB6D05">
        <w:rPr>
          <w:rFonts w:ascii="Arial" w:hAnsi="Arial" w:cs="Arial"/>
          <w:sz w:val="20"/>
          <w:szCs w:val="20"/>
          <w:lang w:eastAsia="ja-JP"/>
        </w:rPr>
        <w:t>he longer the MCSt</w:t>
      </w:r>
      <w:r w:rsidR="00DB6D05" w:rsidDel="0073242D">
        <w:rPr>
          <w:rFonts w:ascii="Arial" w:hAnsi="Arial" w:cs="Arial"/>
          <w:sz w:val="20"/>
          <w:szCs w:val="20"/>
          <w:lang w:eastAsia="ja-JP"/>
        </w:rPr>
        <w:t xml:space="preserve"> the better</w:t>
      </w:r>
      <w:r w:rsidR="00BB6B9D">
        <w:rPr>
          <w:rFonts w:ascii="Arial" w:hAnsi="Arial" w:cs="Arial"/>
          <w:sz w:val="20"/>
          <w:szCs w:val="20"/>
          <w:lang w:eastAsia="ja-JP"/>
        </w:rPr>
        <w:t>.</w:t>
      </w:r>
    </w:p>
    <w:p w14:paraId="48AAC863" w14:textId="41AE53FD" w:rsidR="00C42003" w:rsidRDefault="00FB2B20" w:rsidP="00000335">
      <w:pPr>
        <w:pStyle w:val="CommentText"/>
        <w:jc w:val="center"/>
      </w:pPr>
      <w:r w:rsidRPr="00000335">
        <w:rPr>
          <w:rStyle w:val="CommentReference"/>
          <w:noProof/>
        </w:rPr>
        <w:drawing>
          <wp:inline distT="0" distB="0" distL="0" distR="0" wp14:anchorId="02049D65" wp14:editId="1B30417F">
            <wp:extent cx="3600000" cy="2700000"/>
            <wp:effectExtent l="0" t="0" r="63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3600000" cy="2700000"/>
                    </a:xfrm>
                    <a:prstGeom prst="rect">
                      <a:avLst/>
                    </a:prstGeom>
                    <a:noFill/>
                    <a:ln>
                      <a:noFill/>
                    </a:ln>
                  </pic:spPr>
                </pic:pic>
              </a:graphicData>
            </a:graphic>
          </wp:inline>
        </w:drawing>
      </w:r>
    </w:p>
    <w:p w14:paraId="5AD66A63" w14:textId="225B0CA1" w:rsidR="00C42003" w:rsidRDefault="00C42003" w:rsidP="00C42003">
      <w:pPr>
        <w:pStyle w:val="Caption"/>
        <w:jc w:val="center"/>
      </w:pPr>
      <w:bookmarkStart w:id="58" w:name="_Ref118719012"/>
      <w:r>
        <w:t xml:space="preserve">Figure </w:t>
      </w:r>
      <w:r>
        <w:fldChar w:fldCharType="begin"/>
      </w:r>
      <w:r>
        <w:instrText xml:space="preserve"> SEQ Figure \* ARABIC </w:instrText>
      </w:r>
      <w:r>
        <w:fldChar w:fldCharType="separate"/>
      </w:r>
      <w:r w:rsidR="00466B55">
        <w:rPr>
          <w:noProof/>
        </w:rPr>
        <w:t>12</w:t>
      </w:r>
      <w:r>
        <w:fldChar w:fldCharType="end"/>
      </w:r>
      <w:bookmarkEnd w:id="58"/>
      <w:r w:rsidR="00664E8A">
        <w:t>. System performance with different MCSt lengths.</w:t>
      </w:r>
    </w:p>
    <w:p w14:paraId="4A2DCECB" w14:textId="372574E1" w:rsidR="00E10805" w:rsidRPr="0018081F" w:rsidRDefault="00093E6F" w:rsidP="00000335">
      <w:pPr>
        <w:jc w:val="both"/>
        <w:rPr>
          <w:rFonts w:cs="Arial"/>
          <w:szCs w:val="20"/>
          <w:lang w:eastAsia="en-GB"/>
        </w:rPr>
      </w:pPr>
      <w:r>
        <w:rPr>
          <w:lang w:eastAsia="en-GB"/>
        </w:rPr>
        <w:t xml:space="preserve">The </w:t>
      </w:r>
      <w:r w:rsidRPr="0018081F">
        <w:rPr>
          <w:rFonts w:cs="Arial"/>
          <w:szCs w:val="20"/>
          <w:lang w:eastAsia="en-GB"/>
        </w:rPr>
        <w:t xml:space="preserve">necessity of </w:t>
      </w:r>
      <w:r w:rsidR="00862D45">
        <w:rPr>
          <w:rFonts w:cs="Arial"/>
          <w:szCs w:val="20"/>
          <w:lang w:eastAsia="en-GB"/>
        </w:rPr>
        <w:t>having PSFCH resources in the last slot of the MCSt transmission</w:t>
      </w:r>
      <w:r w:rsidR="007F68D6" w:rsidRPr="0018081F">
        <w:rPr>
          <w:rFonts w:cs="Arial"/>
          <w:szCs w:val="20"/>
          <w:lang w:eastAsia="en-GB"/>
        </w:rPr>
        <w:t xml:space="preserve"> is illustrated in </w:t>
      </w:r>
      <w:r w:rsidR="007F68D6" w:rsidRPr="00000335">
        <w:rPr>
          <w:rFonts w:cs="Arial"/>
          <w:szCs w:val="20"/>
          <w:lang w:eastAsia="en-GB"/>
        </w:rPr>
        <w:fldChar w:fldCharType="begin"/>
      </w:r>
      <w:r w:rsidR="007F68D6" w:rsidRPr="00000335">
        <w:rPr>
          <w:rFonts w:cs="Arial"/>
          <w:szCs w:val="20"/>
          <w:lang w:eastAsia="en-GB"/>
        </w:rPr>
        <w:instrText xml:space="preserve"> REF _Ref118721190 \h </w:instrText>
      </w:r>
      <w:r w:rsidR="00E9257D" w:rsidRPr="00000335">
        <w:rPr>
          <w:rFonts w:cs="Arial"/>
          <w:szCs w:val="20"/>
          <w:lang w:eastAsia="en-GB"/>
        </w:rPr>
        <w:instrText xml:space="preserve"> \* MERGEFORMAT </w:instrText>
      </w:r>
      <w:r w:rsidR="007F68D6" w:rsidRPr="00000335">
        <w:rPr>
          <w:rFonts w:cs="Arial"/>
          <w:szCs w:val="20"/>
          <w:lang w:eastAsia="en-GB"/>
        </w:rPr>
      </w:r>
      <w:r w:rsidR="007F68D6" w:rsidRPr="00000335">
        <w:rPr>
          <w:rFonts w:cs="Arial"/>
          <w:szCs w:val="20"/>
          <w:lang w:eastAsia="en-GB"/>
        </w:rPr>
        <w:fldChar w:fldCharType="separate"/>
      </w:r>
      <w:r w:rsidR="00862D45" w:rsidRPr="00862D45">
        <w:rPr>
          <w:rFonts w:cs="Arial"/>
          <w:szCs w:val="20"/>
        </w:rPr>
        <w:t xml:space="preserve">Figure </w:t>
      </w:r>
      <w:r w:rsidR="00862D45" w:rsidRPr="00862D45">
        <w:rPr>
          <w:rFonts w:cs="Arial"/>
          <w:noProof/>
          <w:szCs w:val="20"/>
        </w:rPr>
        <w:t>13</w:t>
      </w:r>
      <w:r w:rsidR="007F68D6" w:rsidRPr="00000335">
        <w:rPr>
          <w:rFonts w:cs="Arial"/>
          <w:szCs w:val="20"/>
          <w:lang w:eastAsia="en-GB"/>
        </w:rPr>
        <w:fldChar w:fldCharType="end"/>
      </w:r>
      <w:r w:rsidR="004F685D">
        <w:rPr>
          <w:rFonts w:cs="Arial"/>
          <w:szCs w:val="20"/>
          <w:lang w:eastAsia="en-GB"/>
        </w:rPr>
        <w:t xml:space="preserve"> </w:t>
      </w:r>
      <w:r w:rsidR="004F685D">
        <w:rPr>
          <w:lang w:eastAsia="ja-JP"/>
        </w:rPr>
        <w:t>(see simulation assumptions in Appendix A.3)</w:t>
      </w:r>
      <w:r w:rsidR="007F68D6" w:rsidRPr="00000335">
        <w:rPr>
          <w:rFonts w:cs="Arial"/>
          <w:szCs w:val="20"/>
          <w:lang w:eastAsia="en-GB"/>
        </w:rPr>
        <w:t>:</w:t>
      </w:r>
    </w:p>
    <w:p w14:paraId="3163CECC" w14:textId="4A65A626" w:rsidR="007F68D6" w:rsidRPr="00000335" w:rsidRDefault="007F68D6" w:rsidP="00000335">
      <w:pPr>
        <w:pStyle w:val="ListParagraph"/>
        <w:numPr>
          <w:ilvl w:val="0"/>
          <w:numId w:val="66"/>
        </w:numPr>
        <w:jc w:val="both"/>
        <w:rPr>
          <w:rFonts w:ascii="Arial" w:hAnsi="Arial" w:cs="Arial"/>
          <w:sz w:val="20"/>
          <w:szCs w:val="20"/>
          <w:lang w:eastAsia="en-GB"/>
        </w:rPr>
      </w:pPr>
      <w:r w:rsidRPr="00000335">
        <w:rPr>
          <w:rFonts w:ascii="Arial" w:hAnsi="Arial" w:cs="Arial"/>
          <w:sz w:val="20"/>
          <w:szCs w:val="20"/>
          <w:lang w:eastAsia="en-GB"/>
        </w:rPr>
        <w:t xml:space="preserve">The green curve shows MCSt where </w:t>
      </w:r>
      <w:r w:rsidR="003A7242" w:rsidRPr="00000335">
        <w:rPr>
          <w:rFonts w:ascii="Arial" w:hAnsi="Arial" w:cs="Arial"/>
          <w:sz w:val="20"/>
          <w:szCs w:val="20"/>
          <w:lang w:eastAsia="en-GB"/>
        </w:rPr>
        <w:t xml:space="preserve">the transmitter does not leave gaps </w:t>
      </w:r>
      <w:r w:rsidR="001059D2" w:rsidRPr="00000335">
        <w:rPr>
          <w:rFonts w:ascii="Arial" w:hAnsi="Arial" w:cs="Arial"/>
          <w:sz w:val="20"/>
          <w:szCs w:val="20"/>
          <w:lang w:eastAsia="en-GB"/>
        </w:rPr>
        <w:t xml:space="preserve">within the MCSt for transmission of PSFCH </w:t>
      </w:r>
      <w:r w:rsidR="00820946" w:rsidRPr="00000335">
        <w:rPr>
          <w:rFonts w:ascii="Arial" w:hAnsi="Arial" w:cs="Arial"/>
          <w:sz w:val="20"/>
          <w:szCs w:val="20"/>
          <w:lang w:eastAsia="en-GB"/>
        </w:rPr>
        <w:t>(by itself or others).</w:t>
      </w:r>
      <w:r w:rsidR="00E01FCD" w:rsidRPr="00000335">
        <w:rPr>
          <w:rFonts w:ascii="Arial" w:hAnsi="Arial" w:cs="Arial"/>
          <w:sz w:val="20"/>
          <w:szCs w:val="20"/>
          <w:lang w:eastAsia="en-GB"/>
        </w:rPr>
        <w:t xml:space="preserve"> Only the last slot within a MCSt </w:t>
      </w:r>
      <w:r w:rsidR="006F277D" w:rsidRPr="00000335">
        <w:rPr>
          <w:rFonts w:ascii="Arial" w:hAnsi="Arial" w:cs="Arial"/>
          <w:sz w:val="20"/>
          <w:szCs w:val="20"/>
          <w:lang w:eastAsia="en-GB"/>
        </w:rPr>
        <w:t>stops after 10 OFDM symbols.</w:t>
      </w:r>
      <w:r w:rsidR="00E01FCD" w:rsidRPr="00000335">
        <w:rPr>
          <w:rFonts w:ascii="Arial" w:hAnsi="Arial" w:cs="Arial"/>
          <w:sz w:val="20"/>
          <w:szCs w:val="20"/>
          <w:lang w:eastAsia="en-GB"/>
        </w:rPr>
        <w:t xml:space="preserve"> </w:t>
      </w:r>
    </w:p>
    <w:p w14:paraId="5BC3A5FC" w14:textId="41E9D5B5" w:rsidR="004266D0" w:rsidRPr="00000335" w:rsidRDefault="0030454E" w:rsidP="00000335">
      <w:pPr>
        <w:pStyle w:val="ListParagraph"/>
        <w:numPr>
          <w:ilvl w:val="0"/>
          <w:numId w:val="66"/>
        </w:numPr>
        <w:jc w:val="both"/>
        <w:rPr>
          <w:rFonts w:ascii="Arial" w:hAnsi="Arial" w:cs="Arial"/>
          <w:sz w:val="20"/>
          <w:szCs w:val="20"/>
          <w:lang w:eastAsia="en-GB"/>
        </w:rPr>
      </w:pPr>
      <w:r w:rsidRPr="00000335">
        <w:rPr>
          <w:rFonts w:ascii="Arial" w:hAnsi="Arial" w:cs="Arial"/>
          <w:sz w:val="20"/>
          <w:szCs w:val="20"/>
          <w:lang w:eastAsia="en-GB"/>
        </w:rPr>
        <w:t xml:space="preserve">The blue curve shows MCSt where the transmitter leaves gaps within the MCSt for transmission of PSFCH (by itself or others) in every slot configured with PSFCH resources. </w:t>
      </w:r>
      <w:r w:rsidR="003D30BF" w:rsidRPr="00000335">
        <w:rPr>
          <w:rFonts w:ascii="Arial" w:hAnsi="Arial" w:cs="Arial"/>
          <w:sz w:val="20"/>
          <w:szCs w:val="20"/>
          <w:lang w:eastAsia="en-GB"/>
        </w:rPr>
        <w:t>Except for low loads</w:t>
      </w:r>
      <w:r w:rsidR="00EE69A5" w:rsidRPr="00000335">
        <w:rPr>
          <w:rFonts w:ascii="Arial" w:hAnsi="Arial" w:cs="Arial"/>
          <w:sz w:val="20"/>
          <w:szCs w:val="20"/>
          <w:lang w:eastAsia="en-GB"/>
        </w:rPr>
        <w:t xml:space="preserve">, where it does not make a difference, or for very high loads, where the system is </w:t>
      </w:r>
      <w:r w:rsidR="00D6530D" w:rsidRPr="00000335">
        <w:rPr>
          <w:rFonts w:ascii="Arial" w:hAnsi="Arial" w:cs="Arial"/>
          <w:sz w:val="20"/>
          <w:szCs w:val="20"/>
          <w:lang w:eastAsia="en-GB"/>
        </w:rPr>
        <w:t>operating beyond capacity</w:t>
      </w:r>
      <w:r w:rsidR="00777704" w:rsidRPr="00000335">
        <w:rPr>
          <w:rFonts w:ascii="Arial" w:hAnsi="Arial" w:cs="Arial"/>
          <w:sz w:val="20"/>
          <w:szCs w:val="20"/>
          <w:lang w:eastAsia="en-GB"/>
        </w:rPr>
        <w:t>,</w:t>
      </w:r>
      <w:r w:rsidR="00643B1D" w:rsidRPr="00000335">
        <w:rPr>
          <w:rFonts w:ascii="Arial" w:hAnsi="Arial" w:cs="Arial"/>
          <w:sz w:val="20"/>
          <w:szCs w:val="20"/>
          <w:lang w:eastAsia="en-GB"/>
        </w:rPr>
        <w:t xml:space="preserve"> </w:t>
      </w:r>
      <w:r w:rsidR="00E3638B" w:rsidRPr="00000335">
        <w:rPr>
          <w:rFonts w:ascii="Arial" w:hAnsi="Arial" w:cs="Arial"/>
          <w:sz w:val="20"/>
          <w:szCs w:val="20"/>
          <w:lang w:eastAsia="en-GB"/>
        </w:rPr>
        <w:t xml:space="preserve">having PSFCH resources only in the last slot of a MCSt provides </w:t>
      </w:r>
      <w:r w:rsidR="00E9257D" w:rsidRPr="00000335">
        <w:rPr>
          <w:rFonts w:ascii="Arial" w:hAnsi="Arial" w:cs="Arial"/>
          <w:sz w:val="20"/>
          <w:szCs w:val="20"/>
          <w:lang w:eastAsia="en-GB"/>
        </w:rPr>
        <w:t>large improvements in performance.</w:t>
      </w:r>
    </w:p>
    <w:p w14:paraId="2EEB47F1" w14:textId="5A5E07CB" w:rsidR="0030454E" w:rsidRPr="00E9257D" w:rsidRDefault="004266D0" w:rsidP="00000335">
      <w:pPr>
        <w:spacing w:before="240"/>
        <w:jc w:val="both"/>
        <w:rPr>
          <w:lang w:eastAsia="en-GB"/>
        </w:rPr>
      </w:pPr>
      <w:r w:rsidRPr="00000335">
        <w:rPr>
          <w:rFonts w:cs="Arial"/>
          <w:szCs w:val="20"/>
          <w:lang w:eastAsia="en-GB"/>
        </w:rPr>
        <w:t>Further details on the HAR</w:t>
      </w:r>
      <w:r>
        <w:rPr>
          <w:lang w:eastAsia="en-GB"/>
        </w:rPr>
        <w:t xml:space="preserve">Q FB procedure can be </w:t>
      </w:r>
      <w:r w:rsidR="00560A9A">
        <w:rPr>
          <w:lang w:eastAsia="en-GB"/>
        </w:rPr>
        <w:t xml:space="preserve">found in </w:t>
      </w:r>
      <w:r w:rsidR="00560A9A" w:rsidRPr="00D72F36">
        <w:rPr>
          <w:lang w:eastAsia="en-GB"/>
        </w:rPr>
        <w:fldChar w:fldCharType="begin"/>
      </w:r>
      <w:r w:rsidR="00560A9A" w:rsidRPr="00D72F36">
        <w:rPr>
          <w:lang w:eastAsia="en-GB"/>
        </w:rPr>
        <w:instrText xml:space="preserve"> REF _Ref101981861 \r \h </w:instrText>
      </w:r>
      <w:r w:rsidR="005913EB" w:rsidRPr="00D72F36">
        <w:rPr>
          <w:lang w:eastAsia="en-GB"/>
        </w:rPr>
        <w:instrText xml:space="preserve"> \* MERGEFORMAT </w:instrText>
      </w:r>
      <w:r w:rsidR="00560A9A" w:rsidRPr="00D72F36">
        <w:rPr>
          <w:lang w:eastAsia="en-GB"/>
        </w:rPr>
      </w:r>
      <w:r w:rsidR="00560A9A" w:rsidRPr="00D72F36">
        <w:rPr>
          <w:lang w:eastAsia="en-GB"/>
        </w:rPr>
        <w:fldChar w:fldCharType="separate"/>
      </w:r>
      <w:r w:rsidR="00560A9A" w:rsidRPr="00D72F36">
        <w:rPr>
          <w:lang w:eastAsia="en-GB"/>
        </w:rPr>
        <w:t>[3]</w:t>
      </w:r>
      <w:r w:rsidR="00560A9A" w:rsidRPr="00D72F36">
        <w:rPr>
          <w:lang w:eastAsia="en-GB"/>
        </w:rPr>
        <w:fldChar w:fldCharType="end"/>
      </w:r>
      <w:r w:rsidR="00E9257D" w:rsidRPr="00D72F36">
        <w:rPr>
          <w:lang w:eastAsia="en-GB"/>
        </w:rPr>
        <w:t>.</w:t>
      </w:r>
    </w:p>
    <w:p w14:paraId="5D0759BD" w14:textId="77777777" w:rsidR="001E1E0C" w:rsidRDefault="00E10805" w:rsidP="00000335">
      <w:pPr>
        <w:keepNext/>
        <w:jc w:val="center"/>
      </w:pPr>
      <w:r>
        <w:rPr>
          <w:noProof/>
          <w:lang w:eastAsia="en-GB"/>
        </w:rPr>
        <w:lastRenderedPageBreak/>
        <w:drawing>
          <wp:inline distT="0" distB="0" distL="0" distR="0" wp14:anchorId="6B92E174" wp14:editId="1BEC4A61">
            <wp:extent cx="3600000" cy="2700000"/>
            <wp:effectExtent l="0" t="0" r="63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8">
                      <a:extLst>
                        <a:ext uri="{28A0092B-C50C-407E-A947-70E740481C1C}">
                          <a14:useLocalDpi xmlns:a14="http://schemas.microsoft.com/office/drawing/2010/main" val="0"/>
                        </a:ext>
                      </a:extLst>
                    </a:blip>
                    <a:stretch>
                      <a:fillRect/>
                    </a:stretch>
                  </pic:blipFill>
                  <pic:spPr>
                    <a:xfrm>
                      <a:off x="0" y="0"/>
                      <a:ext cx="3600000" cy="2700000"/>
                    </a:xfrm>
                    <a:prstGeom prst="rect">
                      <a:avLst/>
                    </a:prstGeom>
                  </pic:spPr>
                </pic:pic>
              </a:graphicData>
            </a:graphic>
          </wp:inline>
        </w:drawing>
      </w:r>
    </w:p>
    <w:p w14:paraId="285F6D12" w14:textId="1AB122AC" w:rsidR="00E10805" w:rsidRPr="00E10805" w:rsidRDefault="001E1E0C" w:rsidP="00000335">
      <w:pPr>
        <w:pStyle w:val="Caption"/>
        <w:jc w:val="center"/>
      </w:pPr>
      <w:bookmarkStart w:id="59" w:name="_Ref118721190"/>
      <w:r>
        <w:t xml:space="preserve">Figure </w:t>
      </w:r>
      <w:r>
        <w:fldChar w:fldCharType="begin"/>
      </w:r>
      <w:r>
        <w:instrText xml:space="preserve"> SEQ Figure \* ARABIC </w:instrText>
      </w:r>
      <w:r>
        <w:fldChar w:fldCharType="separate"/>
      </w:r>
      <w:r w:rsidR="00466B55">
        <w:rPr>
          <w:noProof/>
        </w:rPr>
        <w:t>13</w:t>
      </w:r>
      <w:r>
        <w:fldChar w:fldCharType="end"/>
      </w:r>
      <w:bookmarkEnd w:id="59"/>
      <w:r w:rsidR="000D27C6">
        <w:t xml:space="preserve">. System performance </w:t>
      </w:r>
      <w:r w:rsidR="00645D66">
        <w:t>when PSFCH resources are present in every slot in a MCSt or only in the last one.</w:t>
      </w:r>
    </w:p>
    <w:p w14:paraId="07AECF16" w14:textId="159D2540" w:rsidR="00AD70B9" w:rsidRPr="00664131" w:rsidRDefault="00AD70B9" w:rsidP="00000335">
      <w:pPr>
        <w:pStyle w:val="Proposal"/>
        <w:numPr>
          <w:ilvl w:val="0"/>
          <w:numId w:val="0"/>
        </w:numPr>
        <w:ind w:left="1304" w:hanging="1304"/>
        <w:jc w:val="center"/>
      </w:pPr>
    </w:p>
    <w:p w14:paraId="28B0AA76" w14:textId="1F43634D" w:rsidR="005F3634" w:rsidRDefault="005F3634" w:rsidP="00CC75F4">
      <w:pPr>
        <w:pStyle w:val="Heading2"/>
      </w:pPr>
      <w:r>
        <w:t>3.</w:t>
      </w:r>
      <w:r w:rsidR="00C37E41">
        <w:t>4</w:t>
      </w:r>
      <w:r>
        <w:tab/>
        <w:t>Inter-UE blocking</w:t>
      </w:r>
    </w:p>
    <w:p w14:paraId="1C8831FB" w14:textId="33019B47" w:rsidR="005F3634" w:rsidRDefault="005F3634" w:rsidP="005F3634">
      <w:pPr>
        <w:pStyle w:val="BodyText"/>
      </w:pPr>
      <w:r>
        <w:t xml:space="preserve">Ideally, two users that aim for transmitting at the same time (in different frequencies), would see the channel as idle and start transmitting at the same time. That is none of them would receive the transmission from the other user before they start their own transmission. However, in practice, the synchronization between the different users is not perfect. That means that the transmissions of two users for the same slot or symbol may be offset by a small gap (e.g., a few </w:t>
      </w:r>
      <w:r>
        <w:rPr>
          <w:rFonts w:cs="Arial"/>
        </w:rPr>
        <w:t>µ</w:t>
      </w:r>
      <w:r>
        <w:t xml:space="preserve">s). Consequently, a first user starting a transmission a few </w:t>
      </w:r>
      <w:r>
        <w:rPr>
          <w:rFonts w:cs="Arial"/>
        </w:rPr>
        <w:t>µ</w:t>
      </w:r>
      <w:r>
        <w:t xml:space="preserve">s before a second user would block the channel for the second user. This would likely prevent the second user from transmitting in the channel, even if their transmissions would be FDMed. This is illustrated in </w:t>
      </w:r>
      <w:r w:rsidR="00B163E2">
        <w:t>Figure 1</w:t>
      </w:r>
      <w:r w:rsidR="00A32BA3">
        <w:t>4</w:t>
      </w:r>
      <w:r>
        <w:fldChar w:fldCharType="begin"/>
      </w:r>
      <w:r>
        <w:instrText xml:space="preserve"> REF _Ref111141965 \h </w:instrText>
      </w:r>
      <w:r>
        <w:fldChar w:fldCharType="end"/>
      </w:r>
      <w:r>
        <w:t>.</w:t>
      </w:r>
    </w:p>
    <w:p w14:paraId="2FF23E1B" w14:textId="77777777" w:rsidR="005F3634" w:rsidRDefault="005F3634" w:rsidP="005F3634">
      <w:pPr>
        <w:pStyle w:val="BodyText"/>
        <w:jc w:val="center"/>
      </w:pPr>
    </w:p>
    <w:p w14:paraId="7B455611" w14:textId="77777777" w:rsidR="005F3634" w:rsidRDefault="005F3634" w:rsidP="005F3634">
      <w:pPr>
        <w:pStyle w:val="BodyText"/>
        <w:keepNext/>
        <w:jc w:val="center"/>
      </w:pPr>
      <w:r>
        <w:rPr>
          <w:noProof/>
        </w:rPr>
        <w:drawing>
          <wp:inline distT="0" distB="0" distL="0" distR="0" wp14:anchorId="1BE4825C" wp14:editId="499DFC9B">
            <wp:extent cx="3308062" cy="2983871"/>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12848" cy="2988188"/>
                    </a:xfrm>
                    <a:prstGeom prst="rect">
                      <a:avLst/>
                    </a:prstGeom>
                    <a:noFill/>
                  </pic:spPr>
                </pic:pic>
              </a:graphicData>
            </a:graphic>
          </wp:inline>
        </w:drawing>
      </w:r>
    </w:p>
    <w:p w14:paraId="2E03B639" w14:textId="5FAECDD4" w:rsidR="005F3634" w:rsidRDefault="005F3634" w:rsidP="005F3634">
      <w:pPr>
        <w:pStyle w:val="Caption"/>
        <w:jc w:val="center"/>
      </w:pPr>
      <w:r>
        <w:t xml:space="preserve">Figure </w:t>
      </w:r>
      <w:r>
        <w:fldChar w:fldCharType="begin"/>
      </w:r>
      <w:r>
        <w:instrText xml:space="preserve"> SEQ Figure \* ARABIC </w:instrText>
      </w:r>
      <w:r>
        <w:fldChar w:fldCharType="separate"/>
      </w:r>
      <w:r w:rsidR="00466B55">
        <w:rPr>
          <w:noProof/>
        </w:rPr>
        <w:t>14</w:t>
      </w:r>
      <w:r>
        <w:fldChar w:fldCharType="end"/>
      </w:r>
      <w:r>
        <w:t>. Top: Perfect synchronization between UE1 and UE2 allows for simultaneous channel access (FDM). Bottom: A slight misalignment in synchronization results in UE2 blocking access to the channel for UE1.</w:t>
      </w:r>
    </w:p>
    <w:p w14:paraId="5F727FD9" w14:textId="77777777" w:rsidR="005F3634" w:rsidRDefault="005F3634" w:rsidP="005F3634">
      <w:pPr>
        <w:pStyle w:val="Observation"/>
        <w:ind w:left="1701" w:hanging="1701"/>
      </w:pPr>
      <w:bookmarkStart w:id="60" w:name="_Toc127544583"/>
      <w:r>
        <w:lastRenderedPageBreak/>
        <w:t>Small differences in timing references result in inter-UE blocking.</w:t>
      </w:r>
      <w:bookmarkEnd w:id="60"/>
    </w:p>
    <w:p w14:paraId="469F8B30" w14:textId="77777777" w:rsidR="005F3634" w:rsidRDefault="005F3634" w:rsidP="005F3634">
      <w:pPr>
        <w:pStyle w:val="BodyText"/>
      </w:pPr>
      <w:r>
        <w:t>This issue is particularly problematic in the following scenarios:</w:t>
      </w:r>
    </w:p>
    <w:p w14:paraId="71AB84BB" w14:textId="77777777" w:rsidR="005F3634" w:rsidRDefault="005F3634" w:rsidP="005F3634">
      <w:pPr>
        <w:pStyle w:val="BodyText"/>
        <w:numPr>
          <w:ilvl w:val="0"/>
          <w:numId w:val="37"/>
        </w:numPr>
      </w:pPr>
      <w:r>
        <w:t xml:space="preserve">When a reserved resource remains unutilized due inter-UE blocking, especially by a UE transmitting on an unreserved resource. </w:t>
      </w:r>
    </w:p>
    <w:p w14:paraId="5C0FE109" w14:textId="77777777" w:rsidR="005F3634" w:rsidRDefault="005F3634" w:rsidP="005F3634">
      <w:pPr>
        <w:pStyle w:val="BodyText"/>
        <w:numPr>
          <w:ilvl w:val="0"/>
          <w:numId w:val="37"/>
        </w:numPr>
      </w:pPr>
      <w:r>
        <w:t>When the transmission of a high-priority packet is blocked by the transmission of a low-priority packet.</w:t>
      </w:r>
    </w:p>
    <w:p w14:paraId="6838EDB5" w14:textId="77777777" w:rsidR="005F3634" w:rsidRDefault="005F3634" w:rsidP="005F3634">
      <w:pPr>
        <w:pStyle w:val="BodyText"/>
      </w:pPr>
      <w:r>
        <w:t xml:space="preserve">One way to address this is to apply different offsets to different transmissions, giving channel access priority to some of them. </w:t>
      </w:r>
    </w:p>
    <w:p w14:paraId="6B0437FB" w14:textId="77777777" w:rsidR="005F3634" w:rsidRDefault="005F3634" w:rsidP="005F3634">
      <w:pPr>
        <w:pStyle w:val="Proposal"/>
      </w:pPr>
      <w:bookmarkStart w:id="61" w:name="_Toc127544571"/>
      <w:r>
        <w:t>Timing offsets are used for preventing inter-UE blocking of high-priority transmissions and transmissions on reserved resources.</w:t>
      </w:r>
      <w:bookmarkEnd w:id="61"/>
    </w:p>
    <w:p w14:paraId="51AF133C" w14:textId="1719BDA0" w:rsidR="005973C3" w:rsidRDefault="005973C3" w:rsidP="0032676F">
      <w:pPr>
        <w:pStyle w:val="Heading3"/>
      </w:pPr>
      <w:r>
        <w:t>3.4.1</w:t>
      </w:r>
      <w:r>
        <w:tab/>
        <w:t>PSFCH vs other SL transmissions.</w:t>
      </w:r>
    </w:p>
    <w:p w14:paraId="4637A47C" w14:textId="1867C378" w:rsidR="005973C3" w:rsidRDefault="005973C3" w:rsidP="001108D3">
      <w:pPr>
        <w:pStyle w:val="BodyText"/>
      </w:pPr>
      <w:r>
        <w:t>Our view is that it is important to prioritize PSFCH transmissions over new PSCCH/PSSCH transmissions</w:t>
      </w:r>
      <w:r w:rsidR="0025016C">
        <w:t xml:space="preserve"> for two reasons:</w:t>
      </w:r>
    </w:p>
    <w:p w14:paraId="43BF97D3" w14:textId="06907488" w:rsidR="0025016C" w:rsidRDefault="0025016C" w:rsidP="0025016C">
      <w:pPr>
        <w:pStyle w:val="BodyText"/>
        <w:numPr>
          <w:ilvl w:val="0"/>
          <w:numId w:val="69"/>
        </w:numPr>
      </w:pPr>
      <w:r>
        <w:t>Failing to convey SL HARQ FB results in additional congestion due to retransmissions.</w:t>
      </w:r>
    </w:p>
    <w:p w14:paraId="4A47E5A8" w14:textId="46E4ED1C" w:rsidR="0025016C" w:rsidRDefault="0025016C" w:rsidP="0025016C">
      <w:pPr>
        <w:pStyle w:val="BodyText"/>
        <w:numPr>
          <w:ilvl w:val="0"/>
          <w:numId w:val="69"/>
        </w:numPr>
      </w:pPr>
      <w:r>
        <w:t>Failing to convey SL HARQ FB results in an increased contention window, leading to a reduced UPT.</w:t>
      </w:r>
    </w:p>
    <w:p w14:paraId="149FD476" w14:textId="1FE5F28B" w:rsidR="00CB7BF1" w:rsidRDefault="009A7889" w:rsidP="004C1C33">
      <w:pPr>
        <w:pStyle w:val="BodyText"/>
      </w:pPr>
      <w:r>
        <w:t>As we argue in</w:t>
      </w:r>
      <w:r w:rsidRPr="00B60DE9">
        <w:t xml:space="preserve"> </w:t>
      </w:r>
      <w:r w:rsidRPr="00D72F36">
        <w:fldChar w:fldCharType="begin"/>
      </w:r>
      <w:r w:rsidRPr="00D72F36">
        <w:instrText xml:space="preserve"> REF _Ref101981861 \r \h </w:instrText>
      </w:r>
      <w:r w:rsidR="00B60DE9" w:rsidRPr="00D72F36">
        <w:instrText xml:space="preserve"> \* MERGEFORMAT </w:instrText>
      </w:r>
      <w:r w:rsidRPr="00D72F36">
        <w:fldChar w:fldCharType="separate"/>
      </w:r>
      <w:r w:rsidRPr="00D72F36">
        <w:t>[3]</w:t>
      </w:r>
      <w:r w:rsidRPr="00D72F36">
        <w:fldChar w:fldCharType="end"/>
      </w:r>
      <w:r>
        <w:t>, having a design in which</w:t>
      </w:r>
      <w:r w:rsidR="001108D3">
        <w:t xml:space="preserve"> PSFCH transmissions utilize OFDM symbols 0-1 in a slot</w:t>
      </w:r>
      <w:r>
        <w:t xml:space="preserve"> is useful to reduce the possibility that SL HARQ FB is not transmitted.</w:t>
      </w:r>
      <w:r w:rsidR="004C1C33">
        <w:t xml:space="preserve"> The odds of having PSFCH transmitted are largely increased if </w:t>
      </w:r>
      <w:r w:rsidR="007A5008">
        <w:t xml:space="preserve">a TX UE avoids </w:t>
      </w:r>
      <w:r w:rsidR="00A05E4F">
        <w:t xml:space="preserve">using the first starting point in a slot for </w:t>
      </w:r>
      <w:r w:rsidR="007A5008">
        <w:t>PSCCH/PSSCH transmission</w:t>
      </w:r>
      <w:r w:rsidR="00A05E4F">
        <w:t xml:space="preserve"> </w:t>
      </w:r>
      <w:r w:rsidR="004C1C33">
        <w:t>when it</w:t>
      </w:r>
      <w:r w:rsidR="00A05E4F">
        <w:t xml:space="preserve"> is aware of an expected PSFCH transmission.</w:t>
      </w:r>
      <w:r w:rsidR="007A5008">
        <w:t xml:space="preserve"> </w:t>
      </w:r>
      <w:r w:rsidR="00121A29">
        <w:t xml:space="preserve">This is illustrated in </w:t>
      </w:r>
      <w:r w:rsidR="00121A29">
        <w:fldChar w:fldCharType="begin"/>
      </w:r>
      <w:r w:rsidR="00121A29">
        <w:instrText xml:space="preserve"> REF _Ref127184795 \h </w:instrText>
      </w:r>
      <w:r w:rsidR="00121A29">
        <w:fldChar w:fldCharType="separate"/>
      </w:r>
      <w:r w:rsidR="00121A29">
        <w:t xml:space="preserve">Figure </w:t>
      </w:r>
      <w:r w:rsidR="00121A29">
        <w:rPr>
          <w:noProof/>
        </w:rPr>
        <w:t>15</w:t>
      </w:r>
      <w:r w:rsidR="00121A29">
        <w:fldChar w:fldCharType="end"/>
      </w:r>
      <w:r w:rsidR="00121A29">
        <w:t>.</w:t>
      </w:r>
    </w:p>
    <w:p w14:paraId="6987E8E9" w14:textId="53967964" w:rsidR="001108D3" w:rsidRDefault="00525C91" w:rsidP="001108D3">
      <w:pPr>
        <w:pStyle w:val="Proposal"/>
      </w:pPr>
      <w:bookmarkStart w:id="62" w:name="_Toc127544572"/>
      <w:r>
        <w:t>A TX UE avoids using the first starting point in a slot if it expects a PSFCH transmission by another UE</w:t>
      </w:r>
      <w:r w:rsidR="001108D3">
        <w:t>.</w:t>
      </w:r>
      <w:bookmarkEnd w:id="62"/>
    </w:p>
    <w:p w14:paraId="0053C945" w14:textId="366069C0" w:rsidR="00466B55" w:rsidRDefault="007A5008" w:rsidP="0032676F">
      <w:pPr>
        <w:pStyle w:val="BodyText"/>
        <w:keepNext/>
        <w:jc w:val="center"/>
      </w:pPr>
      <w:r>
        <w:rPr>
          <w:noProof/>
        </w:rPr>
        <w:drawing>
          <wp:inline distT="0" distB="0" distL="0" distR="0" wp14:anchorId="7C9A5820" wp14:editId="7846D3F0">
            <wp:extent cx="4176395" cy="21094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6395" cy="2109470"/>
                    </a:xfrm>
                    <a:prstGeom prst="rect">
                      <a:avLst/>
                    </a:prstGeom>
                    <a:noFill/>
                  </pic:spPr>
                </pic:pic>
              </a:graphicData>
            </a:graphic>
          </wp:inline>
        </w:drawing>
      </w:r>
    </w:p>
    <w:p w14:paraId="295D1AB5" w14:textId="200B64C8" w:rsidR="00466B55" w:rsidRDefault="00466B55" w:rsidP="0032676F">
      <w:pPr>
        <w:pStyle w:val="Caption"/>
        <w:jc w:val="center"/>
      </w:pPr>
      <w:bookmarkStart w:id="63" w:name="_Ref127184795"/>
      <w:r>
        <w:t xml:space="preserve">Figure </w:t>
      </w:r>
      <w:r>
        <w:fldChar w:fldCharType="begin"/>
      </w:r>
      <w:r>
        <w:instrText xml:space="preserve"> SEQ Figure \* ARABIC </w:instrText>
      </w:r>
      <w:r>
        <w:fldChar w:fldCharType="separate"/>
      </w:r>
      <w:r>
        <w:rPr>
          <w:noProof/>
        </w:rPr>
        <w:t>15</w:t>
      </w:r>
      <w:r>
        <w:fldChar w:fldCharType="end"/>
      </w:r>
      <w:bookmarkEnd w:id="63"/>
      <w:r w:rsidR="00121A29">
        <w:t xml:space="preserve">. </w:t>
      </w:r>
      <w:r w:rsidR="00121A29" w:rsidRPr="00121A29">
        <w:t>PSFCH transmissions using the first symbols in a slot</w:t>
      </w:r>
      <w:r w:rsidR="00121A29">
        <w:t xml:space="preserve">. The </w:t>
      </w:r>
      <w:r w:rsidR="00A05E4F">
        <w:t>PSCCH/PSSCH transmission (in green) does not start in the first starting point of the slot to allow for transmission of the PSFCH related to an earlier PSCCH/PSSCH transmission</w:t>
      </w:r>
      <w:r w:rsidR="00F4384C">
        <w:t xml:space="preserve"> (in blue)</w:t>
      </w:r>
      <w:r w:rsidR="00A05E4F">
        <w:t>.</w:t>
      </w:r>
    </w:p>
    <w:p w14:paraId="57759EBB" w14:textId="47635A04" w:rsidR="00297D37" w:rsidRPr="002A5BD4" w:rsidRDefault="0014395B" w:rsidP="00297D37">
      <w:pPr>
        <w:pStyle w:val="Heading2"/>
        <w:rPr>
          <w:rStyle w:val="IvDbodytextChar"/>
          <w:spacing w:val="0"/>
          <w:lang w:val="en-GB" w:eastAsia="ja-JP"/>
        </w:rPr>
      </w:pPr>
      <w:r>
        <w:rPr>
          <w:rStyle w:val="IvDbodytextChar"/>
          <w:spacing w:val="0"/>
          <w:lang w:val="en-GB" w:eastAsia="ja-JP"/>
        </w:rPr>
        <w:t>3.</w:t>
      </w:r>
      <w:r w:rsidR="00750ECC">
        <w:rPr>
          <w:rStyle w:val="IvDbodytextChar"/>
          <w:spacing w:val="0"/>
          <w:lang w:eastAsia="ja-JP"/>
        </w:rPr>
        <w:t>5</w:t>
      </w:r>
      <w:r w:rsidR="008C05AC">
        <w:rPr>
          <w:rStyle w:val="IvDbodytextChar"/>
          <w:spacing w:val="0"/>
          <w:lang w:eastAsia="ja-JP"/>
        </w:rPr>
        <w:tab/>
      </w:r>
      <w:r w:rsidR="0052459C">
        <w:rPr>
          <w:rStyle w:val="IvDbodytextChar"/>
          <w:spacing w:val="0"/>
          <w:lang w:eastAsia="ja-JP"/>
        </w:rPr>
        <w:t>Additional e</w:t>
      </w:r>
      <w:r>
        <w:rPr>
          <w:rStyle w:val="IvDbodytextChar"/>
          <w:spacing w:val="0"/>
          <w:lang w:val="en-GB" w:eastAsia="ja-JP"/>
        </w:rPr>
        <w:t>valuation</w:t>
      </w:r>
      <w:r w:rsidR="002B50A4">
        <w:rPr>
          <w:rStyle w:val="IvDbodytextChar"/>
          <w:spacing w:val="0"/>
          <w:lang w:val="en-GB" w:eastAsia="ja-JP"/>
        </w:rPr>
        <w:t xml:space="preserve"> results</w:t>
      </w:r>
    </w:p>
    <w:p w14:paraId="27883952" w14:textId="70F32C71" w:rsidR="001B3231" w:rsidRDefault="008006C4" w:rsidP="00CE01DF">
      <w:pPr>
        <w:pStyle w:val="Doc-text2"/>
        <w:ind w:left="0" w:firstLine="0"/>
        <w:jc w:val="both"/>
        <w:rPr>
          <w:lang w:val="en-US"/>
        </w:rPr>
      </w:pPr>
      <w:r w:rsidRPr="00CE01DF">
        <w:rPr>
          <w:lang w:val="en-US"/>
        </w:rPr>
        <w:t xml:space="preserve">In this section, we present </w:t>
      </w:r>
      <w:r w:rsidR="002B50A4" w:rsidRPr="00CE01DF">
        <w:rPr>
          <w:lang w:val="en-US"/>
        </w:rPr>
        <w:t xml:space="preserve">some </w:t>
      </w:r>
      <w:r w:rsidR="005440AC">
        <w:t xml:space="preserve">additional </w:t>
      </w:r>
      <w:r w:rsidR="002B50A4" w:rsidRPr="00CE01DF">
        <w:rPr>
          <w:lang w:val="en-US"/>
        </w:rPr>
        <w:t xml:space="preserve">evaluation results for </w:t>
      </w:r>
      <w:r w:rsidR="008E6F6A" w:rsidRPr="00CE01DF">
        <w:rPr>
          <w:lang w:val="en-US"/>
        </w:rPr>
        <w:t>our Mode-2</w:t>
      </w:r>
      <w:r w:rsidR="00092474" w:rsidRPr="00CE01DF">
        <w:rPr>
          <w:lang w:val="en-US"/>
        </w:rPr>
        <w:t xml:space="preserve"> solution.</w:t>
      </w:r>
      <w:r w:rsidR="00092474">
        <w:rPr>
          <w:lang w:val="en-US"/>
        </w:rPr>
        <w:t xml:space="preserve"> Evaluation assumptions can be </w:t>
      </w:r>
      <w:r w:rsidR="005E0F06">
        <w:rPr>
          <w:lang w:val="en-US"/>
        </w:rPr>
        <w:t>found</w:t>
      </w:r>
      <w:r w:rsidR="000C613D">
        <w:rPr>
          <w:lang w:val="en-US"/>
        </w:rPr>
        <w:t xml:space="preserve"> in </w:t>
      </w:r>
      <w:r w:rsidR="00B935E4">
        <w:rPr>
          <w:lang w:val="en-US"/>
        </w:rPr>
        <w:t>the Appendix</w:t>
      </w:r>
      <w:r w:rsidR="004179B0">
        <w:t xml:space="preserve"> A.1</w:t>
      </w:r>
      <w:r w:rsidR="00B935E4">
        <w:rPr>
          <w:lang w:val="en-US"/>
        </w:rPr>
        <w:t>.</w:t>
      </w:r>
    </w:p>
    <w:p w14:paraId="2F18A042" w14:textId="333F5977" w:rsidR="002E4DAA" w:rsidRDefault="002E4DAA" w:rsidP="002E4DAA">
      <w:pPr>
        <w:pStyle w:val="Doc-text2"/>
        <w:spacing w:before="240"/>
        <w:ind w:left="0" w:firstLine="0"/>
        <w:jc w:val="both"/>
      </w:pPr>
      <w:r>
        <w:t xml:space="preserve">We consider </w:t>
      </w:r>
      <w:r w:rsidR="0026091A">
        <w:t>two configurations for the starting points:</w:t>
      </w:r>
    </w:p>
    <w:p w14:paraId="024F484E" w14:textId="77777777" w:rsidR="0026091A" w:rsidRDefault="0026091A" w:rsidP="00B56DC0">
      <w:pPr>
        <w:pStyle w:val="Doc-text2"/>
        <w:numPr>
          <w:ilvl w:val="0"/>
          <w:numId w:val="40"/>
        </w:numPr>
        <w:jc w:val="both"/>
      </w:pPr>
      <w:r>
        <w:t>1 starting point:</w:t>
      </w:r>
    </w:p>
    <w:p w14:paraId="36957FE6" w14:textId="224507B9" w:rsidR="0026091A" w:rsidRDefault="0026091A" w:rsidP="0026091A">
      <w:pPr>
        <w:pStyle w:val="Doc-text2"/>
        <w:numPr>
          <w:ilvl w:val="1"/>
          <w:numId w:val="40"/>
        </w:numPr>
        <w:jc w:val="both"/>
      </w:pPr>
      <w:r>
        <w:t xml:space="preserve">All PSCCH/PSSCH transmissions start in </w:t>
      </w:r>
      <w:r w:rsidR="00E62B69">
        <w:t>symbol</w:t>
      </w:r>
      <w:r>
        <w:t xml:space="preserve"> 0 and end in </w:t>
      </w:r>
      <w:r w:rsidR="00E62B69">
        <w:t>symbol</w:t>
      </w:r>
      <w:r>
        <w:t xml:space="preserve"> 9 (if PSFCH resources are configured in the slot) or in </w:t>
      </w:r>
      <w:r w:rsidR="00E62B69">
        <w:t>symbol</w:t>
      </w:r>
      <w:r>
        <w:t xml:space="preserve"> 12 (if PSFCH resources are </w:t>
      </w:r>
      <w:r w:rsidR="00820145">
        <w:t xml:space="preserve">not </w:t>
      </w:r>
      <w:r>
        <w:t>configured in the slot).</w:t>
      </w:r>
    </w:p>
    <w:p w14:paraId="0CDBC4B2" w14:textId="19971151" w:rsidR="0026091A" w:rsidRDefault="00C133FD" w:rsidP="0026091A">
      <w:pPr>
        <w:pStyle w:val="Doc-text2"/>
        <w:numPr>
          <w:ilvl w:val="0"/>
          <w:numId w:val="40"/>
        </w:numPr>
        <w:jc w:val="both"/>
      </w:pPr>
      <w:r>
        <w:t>2 starting points</w:t>
      </w:r>
    </w:p>
    <w:p w14:paraId="7BF239B2" w14:textId="408A317F" w:rsidR="00C133FD" w:rsidRDefault="00C133FD" w:rsidP="00C133FD">
      <w:pPr>
        <w:pStyle w:val="Doc-text2"/>
        <w:numPr>
          <w:ilvl w:val="1"/>
          <w:numId w:val="40"/>
        </w:numPr>
        <w:jc w:val="both"/>
      </w:pPr>
      <w:r>
        <w:lastRenderedPageBreak/>
        <w:t xml:space="preserve">A PSCCH/PSSCH transmission </w:t>
      </w:r>
      <w:r w:rsidR="00B60994">
        <w:t xml:space="preserve">may </w:t>
      </w:r>
      <w:r>
        <w:t xml:space="preserve">start in </w:t>
      </w:r>
      <w:r w:rsidR="00E62B69">
        <w:t>symbol</w:t>
      </w:r>
      <w:r>
        <w:t xml:space="preserve"> 0</w:t>
      </w:r>
      <w:r w:rsidR="00B60994">
        <w:t xml:space="preserve"> or in </w:t>
      </w:r>
      <w:r w:rsidR="00E62B69">
        <w:t>symbol</w:t>
      </w:r>
      <w:r w:rsidR="00B60994">
        <w:t xml:space="preserve"> 7. Regardless of when it starts, the transmission ends</w:t>
      </w:r>
      <w:r w:rsidR="0090566C">
        <w:t xml:space="preserve"> like for 1 starting point.</w:t>
      </w:r>
    </w:p>
    <w:p w14:paraId="7130E5F1" w14:textId="33239E71" w:rsidR="00C133FD" w:rsidRDefault="00611639" w:rsidP="00C133FD">
      <w:pPr>
        <w:pStyle w:val="Doc-text2"/>
        <w:numPr>
          <w:ilvl w:val="1"/>
          <w:numId w:val="40"/>
        </w:numPr>
        <w:jc w:val="both"/>
      </w:pPr>
      <w:r>
        <w:t xml:space="preserve">A transmitter UE </w:t>
      </w:r>
      <w:r w:rsidR="00CF7564">
        <w:t>always tries to start a transmission in symbols 0</w:t>
      </w:r>
      <w:r w:rsidR="00AA27D9">
        <w:t xml:space="preserve"> in a slot</w:t>
      </w:r>
      <w:r w:rsidR="00CF7564">
        <w:t xml:space="preserve">. If LBT fails, then it </w:t>
      </w:r>
      <w:r w:rsidR="00AA27D9">
        <w:t>tries again in slot 7.</w:t>
      </w:r>
    </w:p>
    <w:p w14:paraId="5CAB6152" w14:textId="76DE8F9E" w:rsidR="00EF344A" w:rsidRDefault="00EF344A" w:rsidP="00CC75F4">
      <w:pPr>
        <w:pStyle w:val="Doc-text2"/>
        <w:spacing w:before="240"/>
        <w:ind w:left="0" w:firstLine="0"/>
        <w:jc w:val="both"/>
      </w:pPr>
      <w:r>
        <w:t xml:space="preserve">In both cases, reservations and resource exclusion </w:t>
      </w:r>
      <w:r w:rsidR="00E464C3">
        <w:t>follow the Rel-16 specifications and span full slots.</w:t>
      </w:r>
    </w:p>
    <w:p w14:paraId="4E188203" w14:textId="6CEB3F78" w:rsidR="009A0C9C" w:rsidRDefault="00633EEF" w:rsidP="00EE5048">
      <w:pPr>
        <w:pStyle w:val="Doc-text2"/>
        <w:spacing w:before="240"/>
        <w:ind w:left="0" w:firstLine="0"/>
        <w:jc w:val="both"/>
        <w:rPr>
          <w:lang w:val="en-US"/>
        </w:rPr>
      </w:pPr>
      <w:r>
        <w:t xml:space="preserve">In addition, we consider </w:t>
      </w:r>
      <w:r w:rsidR="00FD3848">
        <w:t xml:space="preserve">two variants of Mode 2 for selection </w:t>
      </w:r>
      <w:r w:rsidR="00511ACB">
        <w:t xml:space="preserve">of </w:t>
      </w:r>
      <w:r w:rsidR="00BE69DA">
        <w:t>resources</w:t>
      </w:r>
      <w:r w:rsidR="009A0C9C">
        <w:rPr>
          <w:lang w:val="en-US"/>
        </w:rPr>
        <w:t>:</w:t>
      </w:r>
    </w:p>
    <w:p w14:paraId="078FFAC8" w14:textId="103E4ECD" w:rsidR="007B3191" w:rsidRDefault="005B588F" w:rsidP="00CC75F4">
      <w:pPr>
        <w:pStyle w:val="Doc-text2"/>
        <w:numPr>
          <w:ilvl w:val="0"/>
          <w:numId w:val="33"/>
        </w:numPr>
        <w:jc w:val="both"/>
        <w:rPr>
          <w:lang w:val="en-US"/>
        </w:rPr>
      </w:pPr>
      <w:r w:rsidRPr="00CE01DF">
        <w:rPr>
          <w:u w:val="single"/>
          <w:lang w:val="en-US"/>
        </w:rPr>
        <w:t xml:space="preserve">Variant 1 </w:t>
      </w:r>
      <w:r w:rsidR="00006D0E" w:rsidRPr="00CE01DF">
        <w:rPr>
          <w:u w:val="single"/>
          <w:lang w:val="en-US"/>
        </w:rPr>
        <w:t>‘Without opportunistic TX’</w:t>
      </w:r>
      <w:r w:rsidR="00006D0E">
        <w:rPr>
          <w:lang w:val="en-US"/>
        </w:rPr>
        <w:t xml:space="preserve">: Mode 2 is executed as </w:t>
      </w:r>
      <w:r w:rsidR="00BA33B9">
        <w:rPr>
          <w:lang w:val="en-US"/>
        </w:rPr>
        <w:t>described in the specifications (</w:t>
      </w:r>
      <w:r w:rsidR="005A7B39">
        <w:rPr>
          <w:lang w:val="en-US"/>
        </w:rPr>
        <w:t>f</w:t>
      </w:r>
      <w:r w:rsidR="00BA33B9">
        <w:rPr>
          <w:lang w:val="en-US"/>
        </w:rPr>
        <w:t>ull sensing)</w:t>
      </w:r>
      <w:r w:rsidR="002D2D33">
        <w:rPr>
          <w:lang w:val="en-US"/>
        </w:rPr>
        <w:t>. Resources booked by other SL UEs are excluded</w:t>
      </w:r>
      <w:r w:rsidR="00D2150C">
        <w:rPr>
          <w:lang w:val="en-US"/>
        </w:rPr>
        <w:t xml:space="preserve"> when appropriate. </w:t>
      </w:r>
    </w:p>
    <w:p w14:paraId="42F41C78" w14:textId="36481D12" w:rsidR="001374C6" w:rsidRDefault="00D2150C" w:rsidP="00CE01DF">
      <w:pPr>
        <w:pStyle w:val="Doc-text2"/>
        <w:numPr>
          <w:ilvl w:val="1"/>
          <w:numId w:val="33"/>
        </w:numPr>
        <w:jc w:val="both"/>
        <w:rPr>
          <w:lang w:val="en-US"/>
        </w:rPr>
      </w:pPr>
      <w:r>
        <w:rPr>
          <w:lang w:val="en-US"/>
        </w:rPr>
        <w:t xml:space="preserve">Prior to each </w:t>
      </w:r>
      <w:r w:rsidR="00EB03F7">
        <w:rPr>
          <w:lang w:val="en-US"/>
        </w:rPr>
        <w:t xml:space="preserve">PSCCH+PSSCH </w:t>
      </w:r>
      <w:r>
        <w:rPr>
          <w:lang w:val="en-US"/>
        </w:rPr>
        <w:t xml:space="preserve">transmission, the UE </w:t>
      </w:r>
      <w:r w:rsidR="00EB7E1E">
        <w:rPr>
          <w:lang w:val="en-US"/>
        </w:rPr>
        <w:t>performs LBT</w:t>
      </w:r>
      <w:r w:rsidR="00B40F81">
        <w:rPr>
          <w:lang w:val="en-US"/>
        </w:rPr>
        <w:t xml:space="preserve"> </w:t>
      </w:r>
      <w:r w:rsidR="00EB03F7">
        <w:rPr>
          <w:lang w:val="en-US"/>
        </w:rPr>
        <w:t xml:space="preserve">Type 1. </w:t>
      </w:r>
    </w:p>
    <w:p w14:paraId="2BB9DC75" w14:textId="131849DC" w:rsidR="001B3231" w:rsidRDefault="00EB03F7" w:rsidP="00CE01DF">
      <w:pPr>
        <w:pStyle w:val="Doc-text2"/>
        <w:numPr>
          <w:ilvl w:val="2"/>
          <w:numId w:val="33"/>
        </w:numPr>
        <w:jc w:val="both"/>
        <w:rPr>
          <w:lang w:val="en-US"/>
        </w:rPr>
      </w:pPr>
      <w:r>
        <w:rPr>
          <w:lang w:val="en-US"/>
        </w:rPr>
        <w:t xml:space="preserve">If </w:t>
      </w:r>
      <w:r w:rsidR="00D156EB">
        <w:rPr>
          <w:lang w:val="en-US"/>
        </w:rPr>
        <w:t>the channel is clear</w:t>
      </w:r>
      <w:r>
        <w:rPr>
          <w:lang w:val="en-US"/>
        </w:rPr>
        <w:t xml:space="preserve">, </w:t>
      </w:r>
      <w:r w:rsidR="00702471">
        <w:rPr>
          <w:lang w:val="en-US"/>
        </w:rPr>
        <w:t xml:space="preserve">transmission takes place as </w:t>
      </w:r>
      <w:r w:rsidR="00E80CA2">
        <w:rPr>
          <w:lang w:val="en-US"/>
        </w:rPr>
        <w:t>usual</w:t>
      </w:r>
      <w:r w:rsidR="00702471">
        <w:rPr>
          <w:lang w:val="en-US"/>
        </w:rPr>
        <w:t>.</w:t>
      </w:r>
    </w:p>
    <w:p w14:paraId="53589AA8" w14:textId="7467D1A5" w:rsidR="001374C6" w:rsidRDefault="001374C6" w:rsidP="00CE01DF">
      <w:pPr>
        <w:pStyle w:val="Doc-text2"/>
        <w:numPr>
          <w:ilvl w:val="2"/>
          <w:numId w:val="33"/>
        </w:numPr>
        <w:jc w:val="both"/>
        <w:rPr>
          <w:lang w:val="en-US"/>
        </w:rPr>
      </w:pPr>
      <w:r>
        <w:rPr>
          <w:lang w:val="en-US"/>
        </w:rPr>
        <w:t xml:space="preserve">If the channel is </w:t>
      </w:r>
      <w:r w:rsidR="00E80CA2">
        <w:rPr>
          <w:lang w:val="en-US"/>
        </w:rPr>
        <w:t>busy, the transmission is dropped.</w:t>
      </w:r>
    </w:p>
    <w:p w14:paraId="018C7415" w14:textId="7B7A99F1" w:rsidR="007B3191" w:rsidRDefault="007B3191" w:rsidP="00CE01DF">
      <w:pPr>
        <w:pStyle w:val="Doc-text2"/>
        <w:numPr>
          <w:ilvl w:val="1"/>
          <w:numId w:val="33"/>
        </w:numPr>
        <w:jc w:val="both"/>
        <w:rPr>
          <w:lang w:val="en-US"/>
        </w:rPr>
      </w:pPr>
      <w:r>
        <w:rPr>
          <w:lang w:val="en-US"/>
        </w:rPr>
        <w:t>Prior to each PSFCH transmission, the UE performs LBT Type 2.</w:t>
      </w:r>
    </w:p>
    <w:p w14:paraId="03A72440" w14:textId="77F585D4" w:rsidR="007B3191" w:rsidRDefault="005B588F" w:rsidP="00CE01DF">
      <w:pPr>
        <w:pStyle w:val="Doc-text2"/>
        <w:numPr>
          <w:ilvl w:val="0"/>
          <w:numId w:val="33"/>
        </w:numPr>
        <w:jc w:val="both"/>
        <w:rPr>
          <w:lang w:val="en-US"/>
        </w:rPr>
      </w:pPr>
      <w:r w:rsidRPr="00CE01DF">
        <w:rPr>
          <w:u w:val="single"/>
          <w:lang w:val="en-US"/>
        </w:rPr>
        <w:t xml:space="preserve">Variant 2 </w:t>
      </w:r>
      <w:r w:rsidR="007B3191" w:rsidRPr="00CE01DF">
        <w:rPr>
          <w:u w:val="single"/>
          <w:lang w:val="en-US"/>
        </w:rPr>
        <w:t>‘With opportunistic TX’</w:t>
      </w:r>
      <w:r w:rsidR="008D5DC7">
        <w:rPr>
          <w:lang w:val="en-US"/>
        </w:rPr>
        <w:t xml:space="preserve">: </w:t>
      </w:r>
      <w:r w:rsidR="008002A5">
        <w:rPr>
          <w:lang w:val="en-US"/>
        </w:rPr>
        <w:t>This is the procedure described in</w:t>
      </w:r>
      <w:r w:rsidR="008002A5">
        <w:rPr>
          <w:lang w:val="en-GB" w:eastAsia="ja-JP"/>
        </w:rPr>
        <w:t xml:space="preserve"> </w:t>
      </w:r>
      <w:r w:rsidR="008002A5">
        <w:rPr>
          <w:lang w:val="en-GB" w:eastAsia="ja-JP"/>
        </w:rPr>
        <w:fldChar w:fldCharType="begin"/>
      </w:r>
      <w:r w:rsidR="008002A5">
        <w:rPr>
          <w:lang w:val="en-GB" w:eastAsia="ja-JP"/>
        </w:rPr>
        <w:instrText xml:space="preserve"> REF _Ref111134980 \h </w:instrText>
      </w:r>
      <w:r w:rsidR="008002A5">
        <w:rPr>
          <w:lang w:val="en-GB" w:eastAsia="ja-JP"/>
        </w:rPr>
      </w:r>
      <w:r w:rsidR="008002A5">
        <w:rPr>
          <w:lang w:val="en-GB" w:eastAsia="ja-JP"/>
        </w:rPr>
        <w:fldChar w:fldCharType="separate"/>
      </w:r>
      <w:r w:rsidR="00477B8A">
        <w:t xml:space="preserve">Table </w:t>
      </w:r>
      <w:r w:rsidR="00477B8A">
        <w:rPr>
          <w:noProof/>
        </w:rPr>
        <w:t>2</w:t>
      </w:r>
      <w:r w:rsidR="008002A5">
        <w:rPr>
          <w:lang w:val="en-GB" w:eastAsia="ja-JP"/>
        </w:rPr>
        <w:fldChar w:fldCharType="end"/>
      </w:r>
      <w:r w:rsidR="008002A5">
        <w:rPr>
          <w:lang w:val="en-GB" w:eastAsia="ja-JP"/>
        </w:rPr>
        <w:t xml:space="preserve">. </w:t>
      </w:r>
      <w:r w:rsidR="000D0053" w:rsidRPr="008002A5">
        <w:rPr>
          <w:lang w:val="en-GB" w:eastAsia="ja-JP"/>
        </w:rPr>
        <w:t>I</w:t>
      </w:r>
      <w:r w:rsidR="00B61877" w:rsidRPr="008002A5">
        <w:rPr>
          <w:lang w:val="en-GB" w:eastAsia="ja-JP"/>
        </w:rPr>
        <w:t>n this variant</w:t>
      </w:r>
      <w:r w:rsidR="00AA6570" w:rsidRPr="008002A5">
        <w:rPr>
          <w:lang w:val="en-GB" w:eastAsia="ja-JP"/>
        </w:rPr>
        <w:t>, the UE perf</w:t>
      </w:r>
      <w:r w:rsidR="00411DF5" w:rsidRPr="008002A5">
        <w:rPr>
          <w:lang w:val="en-GB" w:eastAsia="ja-JP"/>
        </w:rPr>
        <w:t>orms opportunistic transmissions.</w:t>
      </w:r>
      <w:r w:rsidR="00C64825" w:rsidRPr="008002A5">
        <w:rPr>
          <w:lang w:val="en-GB" w:eastAsia="ja-JP"/>
        </w:rPr>
        <w:t xml:space="preserve"> When the packet arrives at the TX buffer, the UE selects resources </w:t>
      </w:r>
      <w:r w:rsidR="00E4220F" w:rsidRPr="008002A5">
        <w:rPr>
          <w:lang w:val="en-GB" w:eastAsia="ja-JP"/>
        </w:rPr>
        <w:t xml:space="preserve">following the </w:t>
      </w:r>
      <w:r w:rsidR="00A638FA" w:rsidRPr="008002A5">
        <w:rPr>
          <w:lang w:val="en-GB" w:eastAsia="ja-JP"/>
        </w:rPr>
        <w:t>specifications and initiates LBT Type</w:t>
      </w:r>
      <w:r w:rsidR="003C68EA" w:rsidRPr="008002A5">
        <w:rPr>
          <w:lang w:val="en-GB" w:eastAsia="ja-JP"/>
        </w:rPr>
        <w:t xml:space="preserve"> 1.</w:t>
      </w:r>
    </w:p>
    <w:p w14:paraId="357B224D" w14:textId="22594D25" w:rsidR="00411DF5" w:rsidRDefault="00813769">
      <w:pPr>
        <w:pStyle w:val="Doc-text2"/>
        <w:numPr>
          <w:ilvl w:val="1"/>
          <w:numId w:val="33"/>
        </w:numPr>
        <w:jc w:val="both"/>
        <w:rPr>
          <w:lang w:val="en-US"/>
        </w:rPr>
      </w:pPr>
      <w:r>
        <w:rPr>
          <w:lang w:val="en-US"/>
        </w:rPr>
        <w:t>If the UE has no</w:t>
      </w:r>
      <w:r w:rsidR="00F4258D">
        <w:rPr>
          <w:lang w:val="en-US"/>
        </w:rPr>
        <w:t xml:space="preserve"> outstanding reser</w:t>
      </w:r>
      <w:r w:rsidR="00E16B21">
        <w:rPr>
          <w:lang w:val="en-US"/>
        </w:rPr>
        <w:t xml:space="preserve">vations for the TB (e.g., for </w:t>
      </w:r>
      <w:r w:rsidR="003118D3">
        <w:rPr>
          <w:lang w:val="en-US"/>
        </w:rPr>
        <w:t>the</w:t>
      </w:r>
      <w:r w:rsidR="00E16B21">
        <w:rPr>
          <w:lang w:val="en-US"/>
        </w:rPr>
        <w:t xml:space="preserve"> first transmission)</w:t>
      </w:r>
      <w:r w:rsidR="002D07DB">
        <w:rPr>
          <w:lang w:val="en-US"/>
        </w:rPr>
        <w:t xml:space="preserve">, the UE transmits </w:t>
      </w:r>
      <w:r w:rsidR="00907FA9">
        <w:rPr>
          <w:lang w:val="en-US"/>
        </w:rPr>
        <w:t>as soon as LBT declares the channel to be clear.</w:t>
      </w:r>
    </w:p>
    <w:p w14:paraId="01FD6163" w14:textId="575D90C3" w:rsidR="00907FA9" w:rsidRDefault="00907FA9">
      <w:pPr>
        <w:pStyle w:val="Doc-text2"/>
        <w:numPr>
          <w:ilvl w:val="1"/>
          <w:numId w:val="33"/>
        </w:numPr>
        <w:jc w:val="both"/>
        <w:rPr>
          <w:lang w:val="en-US"/>
        </w:rPr>
      </w:pPr>
      <w:r>
        <w:rPr>
          <w:lang w:val="en-US"/>
        </w:rPr>
        <w:t xml:space="preserve">If the UE has outstanding reservations for the TB (e.g., for a retransmission), </w:t>
      </w:r>
      <w:r w:rsidR="00031482">
        <w:rPr>
          <w:lang w:val="en-US"/>
        </w:rPr>
        <w:t xml:space="preserve">then </w:t>
      </w:r>
      <w:r w:rsidR="00264EC3">
        <w:rPr>
          <w:lang w:val="en-US"/>
        </w:rPr>
        <w:t xml:space="preserve">the UE </w:t>
      </w:r>
      <w:r w:rsidR="003D38E0">
        <w:rPr>
          <w:lang w:val="en-US"/>
        </w:rPr>
        <w:t xml:space="preserve">commits to the reservations. That is, </w:t>
      </w:r>
      <w:r w:rsidR="00C86585">
        <w:rPr>
          <w:lang w:val="en-US"/>
        </w:rPr>
        <w:t>the TX does not transmit before the reserved resource even if LBT declares the channel to be clear in advance.</w:t>
      </w:r>
    </w:p>
    <w:p w14:paraId="7FB12949" w14:textId="32464A8D" w:rsidR="00505916" w:rsidRDefault="00392B44">
      <w:pPr>
        <w:pStyle w:val="Doc-text2"/>
        <w:ind w:left="778" w:firstLine="0"/>
        <w:jc w:val="both"/>
        <w:rPr>
          <w:lang w:val="en-US"/>
        </w:rPr>
      </w:pPr>
      <w:r>
        <w:rPr>
          <w:lang w:val="en-US"/>
        </w:rPr>
        <w:t>Otherwise, resource allocation works like in Variant 1.</w:t>
      </w:r>
    </w:p>
    <w:p w14:paraId="3DA387B6" w14:textId="77777777" w:rsidR="005037E0" w:rsidRDefault="005037E0">
      <w:pPr>
        <w:pStyle w:val="Doc-text2"/>
        <w:ind w:left="778" w:firstLine="0"/>
        <w:jc w:val="both"/>
        <w:rPr>
          <w:lang w:val="en-US"/>
        </w:rPr>
      </w:pPr>
    </w:p>
    <w:p w14:paraId="4221F6AE" w14:textId="32051E30" w:rsidR="008439D7" w:rsidRDefault="00AD64ED">
      <w:pPr>
        <w:pStyle w:val="Doc-text2"/>
        <w:ind w:left="0" w:firstLine="0"/>
        <w:jc w:val="both"/>
        <w:rPr>
          <w:lang w:val="en-US"/>
        </w:rPr>
      </w:pPr>
      <w:r>
        <w:rPr>
          <w:lang w:val="en-US"/>
        </w:rPr>
        <w:t>Performance is measured by means of</w:t>
      </w:r>
      <w:r w:rsidR="00E37129">
        <w:t>:</w:t>
      </w:r>
    </w:p>
    <w:p w14:paraId="45E36EFE" w14:textId="23DBCBB0" w:rsidR="005037E0" w:rsidRDefault="001E042B" w:rsidP="008439D7">
      <w:pPr>
        <w:pStyle w:val="Doc-text2"/>
        <w:numPr>
          <w:ilvl w:val="0"/>
          <w:numId w:val="41"/>
        </w:numPr>
        <w:jc w:val="both"/>
        <w:rPr>
          <w:lang w:val="en-US"/>
        </w:rPr>
      </w:pPr>
      <w:r>
        <w:rPr>
          <w:lang w:val="en-US"/>
        </w:rPr>
        <w:t>UPT CDF</w:t>
      </w:r>
      <w:r w:rsidR="005D5D40">
        <w:rPr>
          <w:lang w:val="en-US"/>
        </w:rPr>
        <w:t>:</w:t>
      </w:r>
    </w:p>
    <w:p w14:paraId="4F9A91C2" w14:textId="77D6AEBE" w:rsidR="008439D7" w:rsidRPr="00CC75F4" w:rsidRDefault="008439D7" w:rsidP="008439D7">
      <w:pPr>
        <w:pStyle w:val="Doc-text2"/>
        <w:numPr>
          <w:ilvl w:val="1"/>
          <w:numId w:val="41"/>
        </w:numPr>
        <w:jc w:val="both"/>
        <w:rPr>
          <w:lang w:val="en-US"/>
        </w:rPr>
      </w:pPr>
      <w:r>
        <w:rPr>
          <w:lang w:val="en-US"/>
        </w:rPr>
        <w:t xml:space="preserve">For each UE, the average UPT </w:t>
      </w:r>
      <w:r>
        <w:t>(over all received packets)</w:t>
      </w:r>
      <w:r>
        <w:rPr>
          <w:lang w:val="en-US"/>
        </w:rPr>
        <w:t xml:space="preserve"> is computed.</w:t>
      </w:r>
      <w:r>
        <w:t xml:space="preserve"> The UPT is not averaged over different drops.</w:t>
      </w:r>
    </w:p>
    <w:p w14:paraId="4212B5FE" w14:textId="77777777" w:rsidR="008439D7" w:rsidRDefault="008439D7" w:rsidP="00CC75F4">
      <w:pPr>
        <w:pStyle w:val="Doc-text2"/>
        <w:numPr>
          <w:ilvl w:val="1"/>
          <w:numId w:val="41"/>
        </w:numPr>
        <w:jc w:val="both"/>
        <w:rPr>
          <w:lang w:val="en-US"/>
        </w:rPr>
      </w:pPr>
      <w:r>
        <w:rPr>
          <w:lang w:val="en-US"/>
        </w:rPr>
        <w:t>The CDF shows the variations in UPT performance for different users</w:t>
      </w:r>
      <w:r>
        <w:t>/drops</w:t>
      </w:r>
      <w:r>
        <w:rPr>
          <w:lang w:val="en-US"/>
        </w:rPr>
        <w:t xml:space="preserve">. </w:t>
      </w:r>
    </w:p>
    <w:p w14:paraId="4A372EFE" w14:textId="6BA3AD2D" w:rsidR="008439D7" w:rsidRPr="00CC75F4" w:rsidRDefault="008439D7" w:rsidP="008439D7">
      <w:pPr>
        <w:pStyle w:val="Doc-text2"/>
        <w:numPr>
          <w:ilvl w:val="0"/>
          <w:numId w:val="41"/>
        </w:numPr>
        <w:jc w:val="both"/>
        <w:rPr>
          <w:lang w:val="en-US"/>
        </w:rPr>
      </w:pPr>
      <w:r>
        <w:t>Late</w:t>
      </w:r>
      <w:r w:rsidR="00D838AD">
        <w:t>ncy CDF, computed using all simulated packets.</w:t>
      </w:r>
    </w:p>
    <w:p w14:paraId="26896467" w14:textId="013F0496" w:rsidR="0058550A" w:rsidRPr="00CC75F4" w:rsidRDefault="0058550A" w:rsidP="0058550A">
      <w:pPr>
        <w:pStyle w:val="Doc-text2"/>
        <w:numPr>
          <w:ilvl w:val="1"/>
          <w:numId w:val="41"/>
        </w:numPr>
        <w:jc w:val="both"/>
        <w:rPr>
          <w:lang w:val="en-US"/>
        </w:rPr>
      </w:pPr>
      <w:r>
        <w:t xml:space="preserve">Latency is defined as the </w:t>
      </w:r>
      <w:r w:rsidR="003512F7">
        <w:t xml:space="preserve">number of slots </w:t>
      </w:r>
      <w:r w:rsidR="00D738B4">
        <w:t>between the arrival of a (higher-layer) packet at the TX buffer and the corresponding (correct) reception.</w:t>
      </w:r>
    </w:p>
    <w:p w14:paraId="01A50375" w14:textId="5526C914" w:rsidR="0077366E" w:rsidRPr="00CC75F4" w:rsidRDefault="0077366E" w:rsidP="00CC75F4">
      <w:pPr>
        <w:pStyle w:val="Doc-text2"/>
        <w:numPr>
          <w:ilvl w:val="1"/>
          <w:numId w:val="41"/>
        </w:numPr>
        <w:jc w:val="both"/>
        <w:rPr>
          <w:lang w:val="en-US"/>
        </w:rPr>
      </w:pPr>
      <w:r>
        <w:t>The latency CDF only includes the packets that are correctly received within the PDB</w:t>
      </w:r>
      <w:r w:rsidR="006B742A">
        <w:t xml:space="preserve"> (10 ms)</w:t>
      </w:r>
    </w:p>
    <w:p w14:paraId="0DDFD535" w14:textId="2F025ADC" w:rsidR="00BC1D4B" w:rsidRDefault="00D738B4" w:rsidP="00405C75">
      <w:pPr>
        <w:pStyle w:val="Doc-text2"/>
        <w:spacing w:before="240"/>
        <w:ind w:left="0" w:firstLine="0"/>
        <w:jc w:val="both"/>
      </w:pPr>
      <w:r>
        <w:t>We emphasize that</w:t>
      </w:r>
      <w:r w:rsidR="00BC1D4B">
        <w:t xml:space="preserve"> the statistics </w:t>
      </w:r>
      <w:r w:rsidR="0008180E">
        <w:t xml:space="preserve">are computed for higher-layer packets, not </w:t>
      </w:r>
      <w:r w:rsidR="0045091C">
        <w:t xml:space="preserve">for </w:t>
      </w:r>
      <w:r w:rsidR="0008180E">
        <w:t xml:space="preserve">TBs. That is, if a higher-layer packet is segmented in several TBs due to its size, </w:t>
      </w:r>
      <w:r w:rsidR="00AC4F59">
        <w:t>latency and UPT are computed</w:t>
      </w:r>
      <w:r w:rsidR="001C07A4">
        <w:t xml:space="preserve"> using the size and arrival/</w:t>
      </w:r>
      <w:r w:rsidR="006B2D16">
        <w:t>reassembly</w:t>
      </w:r>
      <w:r w:rsidR="001C07A4">
        <w:t xml:space="preserve"> time</w:t>
      </w:r>
      <w:r w:rsidR="006B2D16">
        <w:t>s</w:t>
      </w:r>
      <w:r w:rsidR="001C07A4">
        <w:t xml:space="preserve"> of the higher-layer packets.</w:t>
      </w:r>
    </w:p>
    <w:p w14:paraId="1F884BFA" w14:textId="11C4B85D" w:rsidR="00AD34D9" w:rsidRDefault="00E94060" w:rsidP="00405C75">
      <w:pPr>
        <w:pStyle w:val="Doc-text2"/>
        <w:spacing w:before="240"/>
        <w:ind w:left="0" w:firstLine="0"/>
        <w:jc w:val="both"/>
      </w:pPr>
      <w:r>
        <w:t xml:space="preserve">Latency and UPT results are </w:t>
      </w:r>
      <w:r w:rsidRPr="00477B8A">
        <w:t>presented for two different choices of MCS (</w:t>
      </w:r>
      <w:r w:rsidR="00B662A7" w:rsidRPr="00477B8A">
        <w:t xml:space="preserve">64 QAM and R=2/3; 256 QAM and R=0.8643) in </w:t>
      </w:r>
      <w:r w:rsidR="00B662A7" w:rsidRPr="00CC75F4">
        <w:fldChar w:fldCharType="begin"/>
      </w:r>
      <w:r w:rsidR="00B662A7" w:rsidRPr="00477B8A">
        <w:instrText xml:space="preserve"> REF _Ref115361742 \h </w:instrText>
      </w:r>
      <w:r w:rsidR="00A71888" w:rsidRPr="00CC75F4">
        <w:instrText xml:space="preserve"> \* MERGEFORMAT </w:instrText>
      </w:r>
      <w:r w:rsidR="00B662A7" w:rsidRPr="00CC75F4">
        <w:fldChar w:fldCharType="separate"/>
      </w:r>
      <w:r w:rsidR="00B163E2">
        <w:t xml:space="preserve">Figure </w:t>
      </w:r>
      <w:r w:rsidR="00B662A7" w:rsidRPr="00CC75F4">
        <w:fldChar w:fldCharType="end"/>
      </w:r>
      <w:r w:rsidR="00B163E2">
        <w:rPr>
          <w:lang w:val="en-US"/>
        </w:rPr>
        <w:t>1</w:t>
      </w:r>
      <w:r w:rsidR="00B60DE9">
        <w:rPr>
          <w:lang w:val="en-US"/>
        </w:rPr>
        <w:t>6</w:t>
      </w:r>
      <w:r w:rsidR="009E6F17" w:rsidRPr="00477B8A">
        <w:t xml:space="preserve"> to </w:t>
      </w:r>
      <w:r w:rsidR="00B662A7" w:rsidRPr="00CC75F4">
        <w:fldChar w:fldCharType="begin"/>
      </w:r>
      <w:r w:rsidR="00B662A7" w:rsidRPr="00477B8A">
        <w:instrText xml:space="preserve"> REF _Ref115361747 \h </w:instrText>
      </w:r>
      <w:r w:rsidR="00A71888" w:rsidRPr="00CC75F4">
        <w:instrText xml:space="preserve"> \* MERGEFORMAT </w:instrText>
      </w:r>
      <w:r w:rsidR="00B662A7" w:rsidRPr="00CC75F4">
        <w:fldChar w:fldCharType="separate"/>
      </w:r>
      <w:r w:rsidR="00B163E2">
        <w:t xml:space="preserve">Figure </w:t>
      </w:r>
      <w:r w:rsidR="00B662A7" w:rsidRPr="00CC75F4">
        <w:fldChar w:fldCharType="end"/>
      </w:r>
      <w:r w:rsidR="00B163E2">
        <w:rPr>
          <w:lang w:val="en-US"/>
        </w:rPr>
        <w:t>1</w:t>
      </w:r>
      <w:r w:rsidR="00B60DE9">
        <w:rPr>
          <w:lang w:val="en-US"/>
        </w:rPr>
        <w:t>9</w:t>
      </w:r>
      <w:r w:rsidR="009E6F17" w:rsidRPr="00477B8A">
        <w:t>.</w:t>
      </w:r>
    </w:p>
    <w:p w14:paraId="32DC242C" w14:textId="7FC7A993" w:rsidR="009E6F17" w:rsidRDefault="009E6F17" w:rsidP="00405C75">
      <w:pPr>
        <w:pStyle w:val="Doc-text2"/>
        <w:spacing w:before="240"/>
        <w:ind w:left="0" w:firstLine="0"/>
        <w:jc w:val="both"/>
      </w:pPr>
      <w:r>
        <w:t>We observe that:</w:t>
      </w:r>
    </w:p>
    <w:p w14:paraId="5CAE642E" w14:textId="16ACCE0D" w:rsidR="009E6F17" w:rsidRDefault="009E6F17" w:rsidP="00405C75">
      <w:pPr>
        <w:pStyle w:val="Doc-text2"/>
        <w:numPr>
          <w:ilvl w:val="0"/>
          <w:numId w:val="42"/>
        </w:numPr>
        <w:jc w:val="both"/>
        <w:rPr>
          <w:lang w:val="en-US"/>
        </w:rPr>
      </w:pPr>
      <w:r>
        <w:t>O</w:t>
      </w:r>
      <w:r w:rsidR="00214E3B">
        <w:rPr>
          <w:lang w:val="en-US"/>
        </w:rPr>
        <w:t>pportunistic</w:t>
      </w:r>
      <w:r>
        <w:rPr>
          <w:lang w:val="en-US"/>
        </w:rPr>
        <w:t xml:space="preserve"> TX </w:t>
      </w:r>
      <w:r w:rsidR="000425E0">
        <w:t>(variant 2</w:t>
      </w:r>
      <w:r w:rsidR="00D66762">
        <w:t xml:space="preserve"> above</w:t>
      </w:r>
      <w:r w:rsidR="000425E0">
        <w:t xml:space="preserve">) </w:t>
      </w:r>
      <w:r>
        <w:rPr>
          <w:lang w:val="en-US"/>
        </w:rPr>
        <w:t xml:space="preserve">boosts the UPT performance in the scenario. The main reason is that packets get served quicker. This can be readily observed from </w:t>
      </w:r>
      <w:r>
        <w:rPr>
          <w:lang w:val="en-US"/>
        </w:rPr>
        <w:fldChar w:fldCharType="begin"/>
      </w:r>
      <w:r>
        <w:rPr>
          <w:lang w:val="en-US"/>
        </w:rPr>
        <w:instrText xml:space="preserve"> REF _Ref111042076 \h  \* MERGEFORMAT </w:instrText>
      </w:r>
      <w:r>
        <w:rPr>
          <w:lang w:val="en-US"/>
        </w:rPr>
      </w:r>
      <w:r>
        <w:rPr>
          <w:lang w:val="en-US"/>
        </w:rPr>
        <w:fldChar w:fldCharType="end"/>
      </w:r>
      <w:r>
        <w:rPr>
          <w:lang w:val="en-US"/>
        </w:rPr>
        <w:t>, where we show the CDF of the latency of the transmissions by all users.</w:t>
      </w:r>
    </w:p>
    <w:p w14:paraId="5D25728E" w14:textId="241555BB" w:rsidR="000425E0" w:rsidRPr="00CC75F4" w:rsidRDefault="000425E0" w:rsidP="00405C75">
      <w:pPr>
        <w:pStyle w:val="Doc-text2"/>
        <w:numPr>
          <w:ilvl w:val="0"/>
          <w:numId w:val="42"/>
        </w:numPr>
        <w:jc w:val="both"/>
        <w:rPr>
          <w:lang w:val="en-US"/>
        </w:rPr>
      </w:pPr>
      <w:r>
        <w:t xml:space="preserve">The use of multiple starting TX times </w:t>
      </w:r>
      <w:r w:rsidR="00256AD4">
        <w:t>has a minor impact in the performance</w:t>
      </w:r>
      <w:r w:rsidR="00F8168F">
        <w:t>.</w:t>
      </w:r>
    </w:p>
    <w:p w14:paraId="426FF6A3" w14:textId="77777777" w:rsidR="00BB6789" w:rsidRDefault="00BB6789" w:rsidP="00405C75">
      <w:pPr>
        <w:pStyle w:val="Doc-text2"/>
        <w:jc w:val="both"/>
      </w:pPr>
    </w:p>
    <w:p w14:paraId="5ABE51DF" w14:textId="7E699645" w:rsidR="00BB6789" w:rsidRDefault="00F24F60" w:rsidP="0032676F">
      <w:pPr>
        <w:pStyle w:val="Doc-text2"/>
        <w:ind w:left="0" w:firstLine="0"/>
        <w:jc w:val="both"/>
      </w:pPr>
      <w:r>
        <w:t>Based on these observations we conclude that:</w:t>
      </w:r>
    </w:p>
    <w:p w14:paraId="465FA688" w14:textId="7636C85E" w:rsidR="00F24F60" w:rsidRPr="00CC75F4" w:rsidRDefault="00F24F60" w:rsidP="0032676F">
      <w:pPr>
        <w:pStyle w:val="Doc-text2"/>
        <w:numPr>
          <w:ilvl w:val="0"/>
          <w:numId w:val="43"/>
        </w:numPr>
        <w:jc w:val="both"/>
        <w:rPr>
          <w:lang w:val="en-US"/>
        </w:rPr>
      </w:pPr>
      <w:r>
        <w:t>Opportunistic transmission should be supported.</w:t>
      </w:r>
    </w:p>
    <w:p w14:paraId="7198CE9E" w14:textId="33B6D532" w:rsidR="00F24F60" w:rsidRDefault="00F24F60" w:rsidP="0032676F">
      <w:pPr>
        <w:pStyle w:val="Doc-text2"/>
        <w:numPr>
          <w:ilvl w:val="0"/>
          <w:numId w:val="43"/>
        </w:numPr>
        <w:jc w:val="both"/>
        <w:rPr>
          <w:lang w:val="en-US"/>
        </w:rPr>
      </w:pPr>
      <w:r>
        <w:t xml:space="preserve">Further study for multiple starting </w:t>
      </w:r>
      <w:r w:rsidR="0017094D">
        <w:t>symbols within a slot is necessary. We b</w:t>
      </w:r>
      <w:r w:rsidR="00221077">
        <w:t>elieve that</w:t>
      </w:r>
      <w:r w:rsidR="00D00A89">
        <w:t>,</w:t>
      </w:r>
      <w:r w:rsidR="00221077">
        <w:t xml:space="preserve"> as the different aspects of SL transmission (e.g., feedback timing, </w:t>
      </w:r>
      <w:r w:rsidR="00D00A89">
        <w:t xml:space="preserve">other Mode 2 details, </w:t>
      </w:r>
      <w:r w:rsidR="00221077">
        <w:t xml:space="preserve">etc.) are </w:t>
      </w:r>
      <w:r w:rsidR="00D00A89">
        <w:t xml:space="preserve">defined, it will be clearer whether the </w:t>
      </w:r>
      <w:r w:rsidR="0050346C">
        <w:t>gains of using multiple starting symbols in a slot justifies the introduction of the feature.</w:t>
      </w:r>
      <w:r w:rsidR="00D00A89">
        <w:t xml:space="preserve"> </w:t>
      </w:r>
    </w:p>
    <w:p w14:paraId="21AF5A51" w14:textId="7B111243" w:rsidR="00F43DF2" w:rsidRDefault="00724A65" w:rsidP="00CC75F4">
      <w:pPr>
        <w:pStyle w:val="Doc-text2"/>
        <w:keepNext/>
        <w:ind w:left="363"/>
        <w:jc w:val="center"/>
      </w:pPr>
      <w:r>
        <w:rPr>
          <w:noProof/>
          <w:lang w:val="en-US"/>
        </w:rPr>
        <w:lastRenderedPageBreak/>
        <w:drawing>
          <wp:inline distT="0" distB="0" distL="0" distR="0" wp14:anchorId="2C16E608" wp14:editId="7E630745">
            <wp:extent cx="3837829" cy="2878372"/>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3842705" cy="2882029"/>
                    </a:xfrm>
                    <a:prstGeom prst="rect">
                      <a:avLst/>
                    </a:prstGeom>
                  </pic:spPr>
                </pic:pic>
              </a:graphicData>
            </a:graphic>
          </wp:inline>
        </w:drawing>
      </w:r>
    </w:p>
    <w:p w14:paraId="46934AD9" w14:textId="42E192F0" w:rsidR="00724A65" w:rsidRPr="009C05B5" w:rsidRDefault="00F43DF2" w:rsidP="00CC75F4">
      <w:pPr>
        <w:pStyle w:val="Caption"/>
        <w:jc w:val="center"/>
      </w:pPr>
      <w:bookmarkStart w:id="64" w:name="_Ref115361742"/>
      <w:r>
        <w:t xml:space="preserve">Figure </w:t>
      </w:r>
      <w:r>
        <w:fldChar w:fldCharType="begin"/>
      </w:r>
      <w:r>
        <w:instrText xml:space="preserve"> SEQ Figure \* ARABIC </w:instrText>
      </w:r>
      <w:r>
        <w:fldChar w:fldCharType="separate"/>
      </w:r>
      <w:r w:rsidR="00466B55">
        <w:rPr>
          <w:noProof/>
        </w:rPr>
        <w:t>16</w:t>
      </w:r>
      <w:r>
        <w:fldChar w:fldCharType="end"/>
      </w:r>
      <w:bookmarkEnd w:id="64"/>
      <w:r w:rsidR="00326C4E">
        <w:t xml:space="preserve">. </w:t>
      </w:r>
      <w:r w:rsidR="005C14C3">
        <w:t>CDF of average UPT for different users in different drops.</w:t>
      </w:r>
    </w:p>
    <w:p w14:paraId="7A54AE22" w14:textId="657A2D18" w:rsidR="00F43DF2" w:rsidRDefault="00724A65" w:rsidP="00CC75F4">
      <w:pPr>
        <w:pStyle w:val="Doc-text2"/>
        <w:keepNext/>
        <w:ind w:left="363"/>
        <w:jc w:val="center"/>
      </w:pPr>
      <w:r>
        <w:rPr>
          <w:noProof/>
          <w:lang w:val="en-US"/>
        </w:rPr>
        <w:drawing>
          <wp:inline distT="0" distB="0" distL="0" distR="0" wp14:anchorId="2F74232F" wp14:editId="40F67C27">
            <wp:extent cx="3880237" cy="2910178"/>
            <wp:effectExtent l="0" t="0" r="6350" b="508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3885089" cy="2913817"/>
                    </a:xfrm>
                    <a:prstGeom prst="rect">
                      <a:avLst/>
                    </a:prstGeom>
                  </pic:spPr>
                </pic:pic>
              </a:graphicData>
            </a:graphic>
          </wp:inline>
        </w:drawing>
      </w:r>
    </w:p>
    <w:p w14:paraId="20C6FA31" w14:textId="436AB2BF" w:rsidR="005C14C3" w:rsidRPr="00994C23" w:rsidRDefault="00F43DF2" w:rsidP="005C14C3">
      <w:pPr>
        <w:pStyle w:val="Caption"/>
        <w:jc w:val="center"/>
      </w:pPr>
      <w:r>
        <w:t xml:space="preserve">Figure </w:t>
      </w:r>
      <w:r>
        <w:fldChar w:fldCharType="begin"/>
      </w:r>
      <w:r>
        <w:instrText xml:space="preserve"> SEQ Figure \* ARABIC </w:instrText>
      </w:r>
      <w:r>
        <w:fldChar w:fldCharType="separate"/>
      </w:r>
      <w:r w:rsidR="00466B55">
        <w:rPr>
          <w:noProof/>
        </w:rPr>
        <w:t>17</w:t>
      </w:r>
      <w:r>
        <w:fldChar w:fldCharType="end"/>
      </w:r>
      <w:r w:rsidR="005C14C3">
        <w:t>. CDF of packet latency</w:t>
      </w:r>
      <w:r w:rsidR="00E65868">
        <w:t xml:space="preserve"> </w:t>
      </w:r>
      <w:r w:rsidR="00E77823">
        <w:t xml:space="preserve">(in number of 0.5 ms slots) </w:t>
      </w:r>
      <w:r w:rsidR="00E65868">
        <w:t>for all packets in a simulation</w:t>
      </w:r>
      <w:r w:rsidR="005C14C3">
        <w:t>.</w:t>
      </w:r>
    </w:p>
    <w:p w14:paraId="4FAB3C2F" w14:textId="0C78E3E0" w:rsidR="00724A65" w:rsidRPr="005C14C3" w:rsidRDefault="00724A65" w:rsidP="00F43DF2">
      <w:pPr>
        <w:pStyle w:val="Caption"/>
        <w:jc w:val="center"/>
      </w:pPr>
    </w:p>
    <w:p w14:paraId="706D5698" w14:textId="77777777" w:rsidR="00F43DF2" w:rsidRDefault="00F43DF2" w:rsidP="00F43DF2">
      <w:pPr>
        <w:rPr>
          <w:lang w:eastAsia="en-GB"/>
        </w:rPr>
      </w:pPr>
    </w:p>
    <w:p w14:paraId="25EAB657" w14:textId="01DA65B5" w:rsidR="00F43DF2" w:rsidRDefault="00F43DF2" w:rsidP="00CC75F4">
      <w:pPr>
        <w:keepNext/>
        <w:jc w:val="center"/>
      </w:pPr>
      <w:r>
        <w:rPr>
          <w:noProof/>
          <w:lang w:eastAsia="en-GB"/>
        </w:rPr>
        <w:lastRenderedPageBreak/>
        <w:drawing>
          <wp:inline distT="0" distB="0" distL="0" distR="0" wp14:anchorId="40819C12" wp14:editId="5E085FBB">
            <wp:extent cx="3874935" cy="2906202"/>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3">
                      <a:extLst>
                        <a:ext uri="{28A0092B-C50C-407E-A947-70E740481C1C}">
                          <a14:useLocalDpi xmlns:a14="http://schemas.microsoft.com/office/drawing/2010/main" val="0"/>
                        </a:ext>
                      </a:extLst>
                    </a:blip>
                    <a:stretch>
                      <a:fillRect/>
                    </a:stretch>
                  </pic:blipFill>
                  <pic:spPr>
                    <a:xfrm>
                      <a:off x="0" y="0"/>
                      <a:ext cx="3877437" cy="2908078"/>
                    </a:xfrm>
                    <a:prstGeom prst="rect">
                      <a:avLst/>
                    </a:prstGeom>
                  </pic:spPr>
                </pic:pic>
              </a:graphicData>
            </a:graphic>
          </wp:inline>
        </w:drawing>
      </w:r>
    </w:p>
    <w:p w14:paraId="6AA463F4" w14:textId="6F582A57" w:rsidR="00F43DF2" w:rsidRPr="005C14C3" w:rsidRDefault="00F43DF2" w:rsidP="00EE5048">
      <w:pPr>
        <w:pStyle w:val="Caption"/>
        <w:jc w:val="center"/>
      </w:pPr>
      <w:r>
        <w:t xml:space="preserve">Figure </w:t>
      </w:r>
      <w:r>
        <w:fldChar w:fldCharType="begin"/>
      </w:r>
      <w:r>
        <w:instrText xml:space="preserve"> SEQ Figure \* ARABIC </w:instrText>
      </w:r>
      <w:r>
        <w:fldChar w:fldCharType="separate"/>
      </w:r>
      <w:r w:rsidR="00466B55">
        <w:rPr>
          <w:noProof/>
        </w:rPr>
        <w:t>18</w:t>
      </w:r>
      <w:r>
        <w:fldChar w:fldCharType="end"/>
      </w:r>
      <w:r w:rsidR="005C14C3">
        <w:t>. CDF of average UPT for different users in different drops.</w:t>
      </w:r>
    </w:p>
    <w:p w14:paraId="7EFBEFB5" w14:textId="77777777" w:rsidR="00F43DF2" w:rsidRDefault="00F43DF2" w:rsidP="00F43DF2">
      <w:pPr>
        <w:rPr>
          <w:lang w:eastAsia="en-GB"/>
        </w:rPr>
      </w:pPr>
    </w:p>
    <w:p w14:paraId="1FC8B7DC" w14:textId="16ECFAEF" w:rsidR="00F43DF2" w:rsidRDefault="00F43DF2" w:rsidP="00CC75F4">
      <w:pPr>
        <w:keepNext/>
        <w:jc w:val="center"/>
      </w:pPr>
      <w:r>
        <w:rPr>
          <w:noProof/>
          <w:lang w:eastAsia="en-GB"/>
        </w:rPr>
        <w:drawing>
          <wp:inline distT="0" distB="0" distL="0" distR="0" wp14:anchorId="23454EDA" wp14:editId="08F32EF6">
            <wp:extent cx="3795423" cy="2846567"/>
            <wp:effectExtent l="0" t="0" r="0" b="0"/>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3798818" cy="2849113"/>
                    </a:xfrm>
                    <a:prstGeom prst="rect">
                      <a:avLst/>
                    </a:prstGeom>
                  </pic:spPr>
                </pic:pic>
              </a:graphicData>
            </a:graphic>
          </wp:inline>
        </w:drawing>
      </w:r>
    </w:p>
    <w:p w14:paraId="71BB6DCA" w14:textId="53B08615" w:rsidR="00821935" w:rsidRDefault="00F43DF2" w:rsidP="0032676F">
      <w:pPr>
        <w:pStyle w:val="Caption"/>
        <w:jc w:val="center"/>
      </w:pPr>
      <w:bookmarkStart w:id="65" w:name="_Ref115361747"/>
      <w:r>
        <w:t xml:space="preserve">Figure </w:t>
      </w:r>
      <w:r>
        <w:fldChar w:fldCharType="begin"/>
      </w:r>
      <w:r>
        <w:instrText xml:space="preserve"> SEQ Figure \* ARABIC </w:instrText>
      </w:r>
      <w:r>
        <w:fldChar w:fldCharType="separate"/>
      </w:r>
      <w:r w:rsidR="00466B55">
        <w:rPr>
          <w:noProof/>
        </w:rPr>
        <w:t>19</w:t>
      </w:r>
      <w:r>
        <w:fldChar w:fldCharType="end"/>
      </w:r>
      <w:bookmarkEnd w:id="65"/>
      <w:r w:rsidR="00E65868">
        <w:t>. CDF of packet latency</w:t>
      </w:r>
      <w:r w:rsidR="00F160B4">
        <w:t xml:space="preserve"> </w:t>
      </w:r>
      <w:r w:rsidR="00046764">
        <w:t>(in number of 0.5 ms slots)</w:t>
      </w:r>
      <w:r w:rsidR="00E65868">
        <w:t xml:space="preserve"> for all packets in a simulation.</w:t>
      </w:r>
    </w:p>
    <w:p w14:paraId="5B9C742B" w14:textId="0392BCF5" w:rsidR="005D1022" w:rsidRDefault="00313AAD" w:rsidP="008D4AF3">
      <w:pPr>
        <w:pStyle w:val="Heading1"/>
      </w:pPr>
      <w:r>
        <w:t>4</w:t>
      </w:r>
      <w:r>
        <w:tab/>
      </w:r>
      <w:r w:rsidR="005D1022">
        <w:t xml:space="preserve">Mode-1 </w:t>
      </w:r>
    </w:p>
    <w:p w14:paraId="124E1198" w14:textId="3BAD460B" w:rsidR="00955F87" w:rsidRDefault="000E7826" w:rsidP="00541CEF">
      <w:pPr>
        <w:jc w:val="both"/>
        <w:rPr>
          <w:lang w:val="en-GB" w:eastAsia="ja-JP"/>
        </w:rPr>
      </w:pPr>
      <w:r>
        <w:rPr>
          <w:lang w:val="en-GB" w:eastAsia="ja-JP"/>
        </w:rPr>
        <w:t xml:space="preserve">The Mode-1 procedures introduced in Rel-16 include providing SL grants (DG, CG) and reporting of SL HARQ FB information to the gNB. These features may </w:t>
      </w:r>
      <w:r w:rsidR="00DC2F73">
        <w:rPr>
          <w:lang w:val="en-GB" w:eastAsia="ja-JP"/>
        </w:rPr>
        <w:t>require modifications to</w:t>
      </w:r>
      <w:r>
        <w:rPr>
          <w:lang w:val="en-GB" w:eastAsia="ja-JP"/>
        </w:rPr>
        <w:t xml:space="preserve"> </w:t>
      </w:r>
      <w:r w:rsidR="00DC2F73">
        <w:rPr>
          <w:lang w:val="en-GB" w:eastAsia="ja-JP"/>
        </w:rPr>
        <w:t xml:space="preserve">accommodate </w:t>
      </w:r>
      <w:r>
        <w:rPr>
          <w:lang w:val="en-GB" w:eastAsia="ja-JP"/>
        </w:rPr>
        <w:t>potential changes to the SL procedures, but it is difficult to assess at this point what the impact is. Moreover, given that, per WID, Uu signal</w:t>
      </w:r>
      <w:r w:rsidR="0095128A">
        <w:rPr>
          <w:lang w:val="en-GB" w:eastAsia="ja-JP"/>
        </w:rPr>
        <w:t>l</w:t>
      </w:r>
      <w:r>
        <w:rPr>
          <w:lang w:val="en-GB" w:eastAsia="ja-JP"/>
        </w:rPr>
        <w:t xml:space="preserve">ing </w:t>
      </w:r>
      <w:r w:rsidR="0095128A">
        <w:rPr>
          <w:lang w:val="en-GB" w:eastAsia="ja-JP"/>
        </w:rPr>
        <w:t xml:space="preserve">for Mode 1 </w:t>
      </w:r>
      <w:r>
        <w:rPr>
          <w:lang w:val="en-GB" w:eastAsia="ja-JP"/>
        </w:rPr>
        <w:t xml:space="preserve">is exchanged on a licensed carrier, the changes will likely be small. </w:t>
      </w:r>
      <w:r w:rsidR="00955F87">
        <w:rPr>
          <w:lang w:val="en-GB" w:eastAsia="ja-JP"/>
        </w:rPr>
        <w:t xml:space="preserve">Our proposal is to defer work on Mode 1 until the main changes of the SL interface are defined, </w:t>
      </w:r>
      <w:r w:rsidR="00541CEF">
        <w:rPr>
          <w:lang w:val="en-GB" w:eastAsia="ja-JP"/>
        </w:rPr>
        <w:t>especially for</w:t>
      </w:r>
      <w:r w:rsidR="0095128A">
        <w:rPr>
          <w:lang w:val="en-GB" w:eastAsia="ja-JP"/>
        </w:rPr>
        <w:t xml:space="preserve"> </w:t>
      </w:r>
      <w:r w:rsidR="00955F87">
        <w:rPr>
          <w:lang w:val="en-GB" w:eastAsia="ja-JP"/>
        </w:rPr>
        <w:t>the SL HARQ protocol.</w:t>
      </w:r>
    </w:p>
    <w:p w14:paraId="63F52523" w14:textId="199AC301" w:rsidR="0078344D" w:rsidRPr="007B603C" w:rsidRDefault="00955F87" w:rsidP="00955F87">
      <w:pPr>
        <w:pStyle w:val="Proposal"/>
      </w:pPr>
      <w:bookmarkStart w:id="66" w:name="_Toc127544573"/>
      <w:r>
        <w:rPr>
          <w:lang w:val="en-GB"/>
        </w:rPr>
        <w:t>RAN1 to postpone the work on Mode 1 until the main changes of the SL interface are defined (e.g., SL HARQ protocol, SCI contents, etc.).</w:t>
      </w:r>
      <w:bookmarkEnd w:id="66"/>
    </w:p>
    <w:p w14:paraId="4F7E446F" w14:textId="2525E55F" w:rsidR="00B84BE2" w:rsidRDefault="00B84BE2" w:rsidP="00B84BE2">
      <w:pPr>
        <w:jc w:val="both"/>
        <w:rPr>
          <w:lang w:val="en-GB" w:eastAsia="ja-JP"/>
        </w:rPr>
      </w:pPr>
      <w:r>
        <w:rPr>
          <w:lang w:val="en-GB" w:eastAsia="ja-JP"/>
        </w:rPr>
        <w:lastRenderedPageBreak/>
        <w:t xml:space="preserve">One issue to be addressed is </w:t>
      </w:r>
      <w:r w:rsidR="00251DE6">
        <w:rPr>
          <w:lang w:val="en-GB" w:eastAsia="ja-JP"/>
        </w:rPr>
        <w:t>inter</w:t>
      </w:r>
      <w:r>
        <w:rPr>
          <w:lang w:val="en-GB" w:eastAsia="ja-JP"/>
        </w:rPr>
        <w:t>-UE blocking</w:t>
      </w:r>
      <w:r w:rsidR="00251DE6">
        <w:rPr>
          <w:lang w:val="en-GB" w:eastAsia="ja-JP"/>
        </w:rPr>
        <w:t xml:space="preserve"> between different UEs (e.g., Mode 1 vs Mode 1 or Mode 1 vs Mode 2). We discuss this in the following section</w:t>
      </w:r>
      <w:r w:rsidR="001861EA">
        <w:rPr>
          <w:lang w:val="en-GB" w:eastAsia="ja-JP"/>
        </w:rPr>
        <w:t>.</w:t>
      </w:r>
    </w:p>
    <w:p w14:paraId="5CB69A7F" w14:textId="77777777" w:rsidR="00C2315F" w:rsidRPr="00CC75F4" w:rsidRDefault="00C2315F" w:rsidP="007B603C">
      <w:pPr>
        <w:pStyle w:val="Proposal"/>
        <w:rPr>
          <w:lang w:eastAsia="ja-JP"/>
        </w:rPr>
      </w:pPr>
      <w:bookmarkStart w:id="67" w:name="_Toc127544574"/>
      <w:r w:rsidRPr="00CE01DF">
        <w:rPr>
          <w:lang w:val="en-GB"/>
        </w:rPr>
        <w:t xml:space="preserve">RAN1 to address </w:t>
      </w:r>
      <w:r w:rsidR="00100F1F" w:rsidRPr="00CE01DF">
        <w:rPr>
          <w:lang w:val="en-GB"/>
        </w:rPr>
        <w:t>inter-UE blocking for Mode 1. Details FFS.</w:t>
      </w:r>
      <w:bookmarkEnd w:id="67"/>
    </w:p>
    <w:p w14:paraId="3AF811EE" w14:textId="3BB7FB86" w:rsidR="007611AA" w:rsidRPr="00CC75F4" w:rsidRDefault="007611AA" w:rsidP="00CC75F4">
      <w:pPr>
        <w:jc w:val="both"/>
        <w:rPr>
          <w:lang w:val="en-GB" w:eastAsia="ja-JP"/>
        </w:rPr>
      </w:pPr>
      <w:r w:rsidRPr="00CC75F4">
        <w:rPr>
          <w:lang w:val="en-GB" w:eastAsia="ja-JP"/>
        </w:rPr>
        <w:t>In RAN1#110, the following FFS was captured:</w:t>
      </w:r>
    </w:p>
    <w:tbl>
      <w:tblPr>
        <w:tblStyle w:val="TableGrid"/>
        <w:tblW w:w="0" w:type="auto"/>
        <w:tblLook w:val="04A0" w:firstRow="1" w:lastRow="0" w:firstColumn="1" w:lastColumn="0" w:noHBand="0" w:noVBand="1"/>
      </w:tblPr>
      <w:tblGrid>
        <w:gridCol w:w="9629"/>
      </w:tblGrid>
      <w:tr w:rsidR="00FE2E50" w14:paraId="05ABF65C" w14:textId="77777777" w:rsidTr="00FE2E50">
        <w:tc>
          <w:tcPr>
            <w:tcW w:w="9629" w:type="dxa"/>
          </w:tcPr>
          <w:p w14:paraId="66271DB8" w14:textId="3116EB15" w:rsidR="00FE2E50" w:rsidRPr="00CC75F4" w:rsidRDefault="00FE2E50" w:rsidP="00CC75F4">
            <w:pPr>
              <w:pStyle w:val="ListParagraph"/>
              <w:numPr>
                <w:ilvl w:val="0"/>
                <w:numId w:val="49"/>
              </w:numPr>
              <w:jc w:val="both"/>
              <w:rPr>
                <w:rFonts w:cs="Arial"/>
                <w:sz w:val="20"/>
                <w:szCs w:val="20"/>
                <w:lang w:val="en-GB" w:eastAsia="ja-JP"/>
              </w:rPr>
            </w:pPr>
            <w:r w:rsidRPr="00CC75F4">
              <w:rPr>
                <w:rFonts w:ascii="Arial" w:hAnsi="Arial" w:cs="Arial"/>
                <w:sz w:val="20"/>
                <w:szCs w:val="20"/>
                <w:lang w:val="en-GB" w:eastAsia="ja-JP"/>
              </w:rPr>
              <w:t>FFS whether a Mode 1 UE can report a COT or related information to gNB for aiding Mode 1 RA</w:t>
            </w:r>
          </w:p>
        </w:tc>
      </w:tr>
    </w:tbl>
    <w:p w14:paraId="64EB0D24" w14:textId="5EE87041" w:rsidR="00FE2E50" w:rsidRDefault="00D503F1" w:rsidP="00D503F1">
      <w:pPr>
        <w:spacing w:before="240"/>
        <w:jc w:val="both"/>
        <w:rPr>
          <w:lang w:eastAsia="ja-JP"/>
        </w:rPr>
      </w:pPr>
      <w:r>
        <w:rPr>
          <w:lang w:eastAsia="ja-JP"/>
        </w:rPr>
        <w:t>We do not see any practical application</w:t>
      </w:r>
      <w:r w:rsidR="00F75C77">
        <w:rPr>
          <w:lang w:eastAsia="ja-JP"/>
        </w:rPr>
        <w:t xml:space="preserve"> of UE reports carrying COT information for aiding Mode 1 RA.</w:t>
      </w:r>
      <w:r w:rsidR="004B7524">
        <w:rPr>
          <w:lang w:eastAsia="ja-JP"/>
        </w:rPr>
        <w:t xml:space="preserve"> A COT </w:t>
      </w:r>
      <w:r w:rsidR="00416E77">
        <w:rPr>
          <w:lang w:eastAsia="ja-JP"/>
        </w:rPr>
        <w:t xml:space="preserve">typically lasts very few ms (see </w:t>
      </w:r>
      <w:r w:rsidR="00416E77">
        <w:rPr>
          <w:lang w:eastAsia="ja-JP"/>
        </w:rPr>
        <w:fldChar w:fldCharType="begin"/>
      </w:r>
      <w:r w:rsidR="00416E77">
        <w:rPr>
          <w:lang w:eastAsia="ja-JP"/>
        </w:rPr>
        <w:instrText xml:space="preserve"> REF _Ref115374188 \h </w:instrText>
      </w:r>
      <w:r w:rsidR="00416E77">
        <w:rPr>
          <w:lang w:eastAsia="ja-JP"/>
        </w:rPr>
      </w:r>
      <w:r w:rsidR="00416E77">
        <w:rPr>
          <w:lang w:eastAsia="ja-JP"/>
        </w:rPr>
        <w:fldChar w:fldCharType="separate"/>
      </w:r>
      <w:r w:rsidR="00477B8A">
        <w:t xml:space="preserve">Table </w:t>
      </w:r>
      <w:r w:rsidR="00477B8A">
        <w:rPr>
          <w:noProof/>
        </w:rPr>
        <w:t>1</w:t>
      </w:r>
      <w:r w:rsidR="00416E77">
        <w:rPr>
          <w:lang w:eastAsia="ja-JP"/>
        </w:rPr>
        <w:fldChar w:fldCharType="end"/>
      </w:r>
      <w:r w:rsidR="00416E77">
        <w:rPr>
          <w:lang w:eastAsia="ja-JP"/>
        </w:rPr>
        <w:t xml:space="preserve"> for maximum values in Uu)</w:t>
      </w:r>
      <w:r w:rsidR="00617DC4">
        <w:rPr>
          <w:lang w:eastAsia="ja-JP"/>
        </w:rPr>
        <w:t>, which is insufficient to accommodate:</w:t>
      </w:r>
    </w:p>
    <w:p w14:paraId="570C48D3" w14:textId="5A925A8C" w:rsidR="00617DC4" w:rsidRPr="00CC75F4" w:rsidRDefault="00617DC4" w:rsidP="00617DC4">
      <w:pPr>
        <w:pStyle w:val="ListParagraph"/>
        <w:numPr>
          <w:ilvl w:val="0"/>
          <w:numId w:val="49"/>
        </w:numPr>
        <w:spacing w:before="240"/>
        <w:jc w:val="both"/>
        <w:rPr>
          <w:rFonts w:ascii="Arial" w:hAnsi="Arial" w:cs="Arial"/>
          <w:sz w:val="20"/>
          <w:szCs w:val="20"/>
          <w:lang w:eastAsia="ja-JP"/>
        </w:rPr>
      </w:pPr>
      <w:r w:rsidRPr="00CC75F4">
        <w:rPr>
          <w:rFonts w:ascii="Arial" w:hAnsi="Arial" w:cs="Arial"/>
          <w:sz w:val="20"/>
          <w:szCs w:val="20"/>
          <w:lang w:eastAsia="ja-JP"/>
        </w:rPr>
        <w:t>The time for UL reporting, which would typically involve:</w:t>
      </w:r>
    </w:p>
    <w:p w14:paraId="4A80DB7E" w14:textId="59B642FC" w:rsidR="00617DC4" w:rsidRPr="00CC75F4" w:rsidRDefault="00617DC4" w:rsidP="00617DC4">
      <w:pPr>
        <w:pStyle w:val="ListParagraph"/>
        <w:numPr>
          <w:ilvl w:val="1"/>
          <w:numId w:val="49"/>
        </w:numPr>
        <w:spacing w:before="240"/>
        <w:jc w:val="both"/>
        <w:rPr>
          <w:rFonts w:ascii="Arial" w:hAnsi="Arial" w:cs="Arial"/>
          <w:sz w:val="20"/>
          <w:szCs w:val="20"/>
          <w:lang w:eastAsia="ja-JP"/>
        </w:rPr>
      </w:pPr>
      <w:r w:rsidRPr="00CC75F4">
        <w:rPr>
          <w:rFonts w:ascii="Arial" w:hAnsi="Arial" w:cs="Arial"/>
          <w:sz w:val="20"/>
          <w:szCs w:val="20"/>
          <w:lang w:eastAsia="ja-JP"/>
        </w:rPr>
        <w:t xml:space="preserve">Waiting </w:t>
      </w:r>
      <w:r w:rsidR="00FB789C" w:rsidRPr="00CC75F4">
        <w:rPr>
          <w:rFonts w:ascii="Arial" w:hAnsi="Arial" w:cs="Arial"/>
          <w:sz w:val="20"/>
          <w:szCs w:val="20"/>
          <w:lang w:eastAsia="ja-JP"/>
        </w:rPr>
        <w:t>and transmission time for SR.</w:t>
      </w:r>
    </w:p>
    <w:p w14:paraId="6090AF9F" w14:textId="2E140E44" w:rsidR="00FB789C" w:rsidRPr="00CC75F4" w:rsidRDefault="00FB789C" w:rsidP="00617DC4">
      <w:pPr>
        <w:pStyle w:val="ListParagraph"/>
        <w:numPr>
          <w:ilvl w:val="1"/>
          <w:numId w:val="49"/>
        </w:numPr>
        <w:spacing w:before="240"/>
        <w:jc w:val="both"/>
        <w:rPr>
          <w:rFonts w:ascii="Arial" w:hAnsi="Arial" w:cs="Arial"/>
          <w:sz w:val="20"/>
          <w:szCs w:val="20"/>
          <w:lang w:eastAsia="ja-JP"/>
        </w:rPr>
      </w:pPr>
      <w:r w:rsidRPr="00CC75F4">
        <w:rPr>
          <w:rFonts w:ascii="Arial" w:hAnsi="Arial" w:cs="Arial"/>
          <w:sz w:val="20"/>
          <w:szCs w:val="20"/>
          <w:lang w:eastAsia="ja-JP"/>
        </w:rPr>
        <w:t>Granting UL resources for transmitting SL BSR</w:t>
      </w:r>
      <w:r w:rsidR="001712E7" w:rsidRPr="00CC75F4">
        <w:rPr>
          <w:rFonts w:ascii="Arial" w:hAnsi="Arial" w:cs="Arial"/>
          <w:sz w:val="20"/>
          <w:szCs w:val="20"/>
          <w:lang w:eastAsia="ja-JP"/>
        </w:rPr>
        <w:t>.</w:t>
      </w:r>
    </w:p>
    <w:p w14:paraId="35EA6ECE" w14:textId="52741B99" w:rsidR="009E0F2F" w:rsidRPr="00CC75F4" w:rsidRDefault="009E0F2F" w:rsidP="00617DC4">
      <w:pPr>
        <w:pStyle w:val="ListParagraph"/>
        <w:numPr>
          <w:ilvl w:val="1"/>
          <w:numId w:val="49"/>
        </w:numPr>
        <w:spacing w:before="240"/>
        <w:jc w:val="both"/>
        <w:rPr>
          <w:rFonts w:ascii="Arial" w:hAnsi="Arial" w:cs="Arial"/>
          <w:sz w:val="20"/>
          <w:szCs w:val="20"/>
          <w:lang w:eastAsia="ja-JP"/>
        </w:rPr>
      </w:pPr>
      <w:r w:rsidRPr="00CC75F4">
        <w:rPr>
          <w:rFonts w:ascii="Arial" w:hAnsi="Arial" w:cs="Arial"/>
          <w:sz w:val="20"/>
          <w:szCs w:val="20"/>
          <w:lang w:eastAsia="ja-JP"/>
        </w:rPr>
        <w:t>Transmission of SL BSR</w:t>
      </w:r>
      <w:r w:rsidR="001712E7" w:rsidRPr="00CC75F4">
        <w:rPr>
          <w:rFonts w:ascii="Arial" w:hAnsi="Arial" w:cs="Arial"/>
          <w:sz w:val="20"/>
          <w:szCs w:val="20"/>
          <w:lang w:eastAsia="ja-JP"/>
        </w:rPr>
        <w:t xml:space="preserve"> in PUSCH.</w:t>
      </w:r>
    </w:p>
    <w:p w14:paraId="482D948E" w14:textId="4034A818" w:rsidR="009E0F2F" w:rsidRDefault="009E0F2F" w:rsidP="009E0F2F">
      <w:pPr>
        <w:pStyle w:val="ListParagraph"/>
        <w:numPr>
          <w:ilvl w:val="0"/>
          <w:numId w:val="49"/>
        </w:numPr>
        <w:spacing w:before="240"/>
        <w:jc w:val="both"/>
        <w:rPr>
          <w:rFonts w:ascii="Arial" w:hAnsi="Arial" w:cs="Arial"/>
          <w:sz w:val="20"/>
          <w:szCs w:val="20"/>
          <w:lang w:eastAsia="ja-JP"/>
        </w:rPr>
      </w:pPr>
      <w:r w:rsidRPr="00CC75F4">
        <w:rPr>
          <w:rFonts w:ascii="Arial" w:hAnsi="Arial" w:cs="Arial"/>
          <w:sz w:val="20"/>
          <w:szCs w:val="20"/>
          <w:lang w:eastAsia="ja-JP"/>
        </w:rPr>
        <w:t xml:space="preserve">The time for any subsequent </w:t>
      </w:r>
      <w:r w:rsidR="00F248E1">
        <w:rPr>
          <w:rFonts w:ascii="Arial" w:hAnsi="Arial" w:cs="Arial"/>
          <w:sz w:val="20"/>
          <w:szCs w:val="20"/>
          <w:lang w:eastAsia="ja-JP"/>
        </w:rPr>
        <w:t xml:space="preserve">Mode 1 </w:t>
      </w:r>
      <w:r w:rsidRPr="00CC75F4">
        <w:rPr>
          <w:rFonts w:ascii="Arial" w:hAnsi="Arial" w:cs="Arial"/>
          <w:sz w:val="20"/>
          <w:szCs w:val="20"/>
          <w:lang w:eastAsia="ja-JP"/>
        </w:rPr>
        <w:t>action (e.g., provide a SL grant</w:t>
      </w:r>
      <w:r w:rsidR="001712E7" w:rsidRPr="00CC75F4">
        <w:rPr>
          <w:rFonts w:ascii="Arial" w:hAnsi="Arial" w:cs="Arial"/>
          <w:sz w:val="20"/>
          <w:szCs w:val="20"/>
          <w:lang w:eastAsia="ja-JP"/>
        </w:rPr>
        <w:t xml:space="preserve">, </w:t>
      </w:r>
      <w:r w:rsidR="004E27DD" w:rsidRPr="00CC75F4">
        <w:rPr>
          <w:rFonts w:ascii="Arial" w:hAnsi="Arial" w:cs="Arial"/>
          <w:sz w:val="20"/>
          <w:szCs w:val="20"/>
          <w:lang w:eastAsia="ja-JP"/>
        </w:rPr>
        <w:t>postpone a SL transmission, etc.).</w:t>
      </w:r>
    </w:p>
    <w:p w14:paraId="431A4B93" w14:textId="5367BE6F" w:rsidR="00F248E1" w:rsidRPr="00CC75F4" w:rsidRDefault="00F248E1" w:rsidP="00CC75F4">
      <w:pPr>
        <w:pStyle w:val="Proposal"/>
        <w:spacing w:before="240"/>
      </w:pPr>
      <w:bookmarkStart w:id="68" w:name="_Toc127544575"/>
      <w:r>
        <w:t xml:space="preserve">UE reports of COT </w:t>
      </w:r>
      <w:r w:rsidR="00AA4966">
        <w:t>information to gNB for aiding Mode 1 RA are not supported</w:t>
      </w:r>
      <w:bookmarkEnd w:id="68"/>
    </w:p>
    <w:p w14:paraId="0F31C69E" w14:textId="72C54ECA" w:rsidR="000A31DE" w:rsidRPr="000A31DE" w:rsidRDefault="000A31DE">
      <w:pPr>
        <w:pStyle w:val="Heading2"/>
      </w:pPr>
      <w:r>
        <w:t xml:space="preserve">4.1 </w:t>
      </w:r>
      <w:r w:rsidR="001F328D">
        <w:tab/>
      </w:r>
      <w:r>
        <w:t>Inter-UE blocking</w:t>
      </w:r>
    </w:p>
    <w:p w14:paraId="31DE9CDE" w14:textId="3614B902" w:rsidR="007C216D" w:rsidRDefault="00191BC9" w:rsidP="007C216D">
      <w:pPr>
        <w:pStyle w:val="BodyText"/>
      </w:pPr>
      <w:r>
        <w:t>Like</w:t>
      </w:r>
      <w:r w:rsidR="007C216D">
        <w:t xml:space="preserve"> the discuss</w:t>
      </w:r>
      <w:r w:rsidR="00DC5002">
        <w:t>ion in Section 3.4, it is important to consider the issue of inter-UE blocking:</w:t>
      </w:r>
    </w:p>
    <w:p w14:paraId="2541CEFF" w14:textId="406908BE" w:rsidR="00DC5002" w:rsidRDefault="0063754B" w:rsidP="0063754B">
      <w:pPr>
        <w:pStyle w:val="BodyText"/>
        <w:numPr>
          <w:ilvl w:val="0"/>
          <w:numId w:val="53"/>
        </w:numPr>
      </w:pPr>
      <w:r>
        <w:t>Between Mode 1 UEs</w:t>
      </w:r>
    </w:p>
    <w:p w14:paraId="30126997" w14:textId="54E568DE" w:rsidR="0063754B" w:rsidRPr="00CC75F4" w:rsidRDefault="0063754B" w:rsidP="00CC75F4">
      <w:pPr>
        <w:pStyle w:val="BodyText"/>
        <w:numPr>
          <w:ilvl w:val="0"/>
          <w:numId w:val="53"/>
        </w:numPr>
      </w:pPr>
      <w:r>
        <w:t>Between Mode 1 and Mode 2 UEs.</w:t>
      </w:r>
    </w:p>
    <w:p w14:paraId="4434BC53" w14:textId="540A5259" w:rsidR="007C216D" w:rsidRDefault="00191BC9" w:rsidP="007C216D">
      <w:pPr>
        <w:pStyle w:val="Proposal"/>
      </w:pPr>
      <w:bookmarkStart w:id="69" w:name="_Toc127544576"/>
      <w:r>
        <w:t xml:space="preserve">CPE </w:t>
      </w:r>
      <w:r w:rsidR="007C216D">
        <w:t xml:space="preserve">offsets are used for preventing inter-UE blocking of </w:t>
      </w:r>
      <w:r w:rsidR="0063754B">
        <w:t>Mode-1 UEs and other UEs</w:t>
      </w:r>
      <w:r w:rsidR="007C216D">
        <w:t>.</w:t>
      </w:r>
      <w:bookmarkEnd w:id="69"/>
    </w:p>
    <w:p w14:paraId="77F3417D" w14:textId="75A30921" w:rsidR="00764188" w:rsidRDefault="007C216D" w:rsidP="00764188">
      <w:pPr>
        <w:pStyle w:val="Heading1"/>
      </w:pPr>
      <w:r>
        <w:t>5</w:t>
      </w:r>
      <w:r w:rsidR="00764188">
        <w:tab/>
        <w:t>Other aspects related to SL-U</w:t>
      </w:r>
    </w:p>
    <w:p w14:paraId="1D82D682" w14:textId="17EFDC9A" w:rsidR="00764188" w:rsidRPr="007B603C" w:rsidRDefault="006436ED" w:rsidP="007B603C">
      <w:pPr>
        <w:pStyle w:val="Heading2"/>
        <w:rPr>
          <w:rStyle w:val="IvDbodytextChar"/>
          <w:spacing w:val="0"/>
          <w:lang w:val="en-GB" w:eastAsia="ja-JP"/>
        </w:rPr>
      </w:pPr>
      <w:r>
        <w:rPr>
          <w:rStyle w:val="IvDbodytextChar"/>
          <w:spacing w:val="0"/>
          <w:lang w:eastAsia="ja-JP"/>
        </w:rPr>
        <w:t>5</w:t>
      </w:r>
      <w:r w:rsidR="00764188">
        <w:rPr>
          <w:rStyle w:val="IvDbodytextChar"/>
          <w:spacing w:val="0"/>
          <w:lang w:val="en-GB" w:eastAsia="ja-JP"/>
        </w:rPr>
        <w:t>.</w:t>
      </w:r>
      <w:r w:rsidR="00A71888">
        <w:rPr>
          <w:rStyle w:val="IvDbodytextChar"/>
          <w:spacing w:val="0"/>
          <w:lang w:val="en-GB" w:eastAsia="ja-JP"/>
        </w:rPr>
        <w:t>1</w:t>
      </w:r>
      <w:r w:rsidR="00764188" w:rsidRPr="007B603C">
        <w:rPr>
          <w:rStyle w:val="IvDbodytextChar"/>
          <w:spacing w:val="0"/>
          <w:lang w:val="en-GB" w:eastAsia="ja-JP"/>
        </w:rPr>
        <w:tab/>
        <w:t>Congestion control</w:t>
      </w:r>
    </w:p>
    <w:p w14:paraId="3F6C098D" w14:textId="77777777" w:rsidR="00764188" w:rsidRDefault="00764188" w:rsidP="00764188">
      <w:pPr>
        <w:jc w:val="both"/>
        <w:rPr>
          <w:lang w:val="en-GB" w:eastAsia="ja-JP"/>
        </w:rPr>
      </w:pPr>
      <w:r>
        <w:rPr>
          <w:lang w:val="en-GB" w:eastAsia="ja-JP"/>
        </w:rPr>
        <w:t xml:space="preserve">Congestion control has been part of all 3GPP SL specifications (LTE, NR) for V2X. This feature was introduced in Rel-14 to ensure that 3GPP specifications would be suitable for operating in a spectrum that had been regulated for a different technology (DSRC/ITS-G5) and for a very specific use case (V2X/ITS). These regulations are quite different from the ones that are applicable in FR1 unlicensed spectrum (e.g., bands n46, n96/n102) and do not require separate congestion control procedures. </w:t>
      </w:r>
    </w:p>
    <w:p w14:paraId="2EB73546" w14:textId="77777777" w:rsidR="00764188" w:rsidRDefault="00764188" w:rsidP="00764188">
      <w:pPr>
        <w:pStyle w:val="Observation"/>
        <w:ind w:left="1701" w:hanging="1701"/>
      </w:pPr>
      <w:bookmarkStart w:id="70" w:name="_Toc102144049"/>
      <w:bookmarkStart w:id="71" w:name="_Toc127544584"/>
      <w:r>
        <w:t>The congestion control procedure was introduced for operation in ITS spectrum and is not relevant for operation in unlicensed bands.</w:t>
      </w:r>
      <w:bookmarkEnd w:id="70"/>
      <w:bookmarkEnd w:id="71"/>
      <w:r>
        <w:t xml:space="preserve"> </w:t>
      </w:r>
    </w:p>
    <w:p w14:paraId="45838A1B" w14:textId="77777777" w:rsidR="00764188" w:rsidRDefault="00764188" w:rsidP="00764188">
      <w:pPr>
        <w:pStyle w:val="Doc-text2"/>
        <w:ind w:left="0" w:firstLine="0"/>
        <w:rPr>
          <w:b/>
          <w:bCs/>
        </w:rPr>
      </w:pPr>
      <w:r w:rsidRPr="002A6DF9">
        <w:t>We believe that</w:t>
      </w:r>
      <w:r>
        <w:t>, for SL-U,</w:t>
      </w:r>
      <w:r w:rsidRPr="002A6DF9">
        <w:t xml:space="preserve"> </w:t>
      </w:r>
      <w:r>
        <w:t>RAN1 should skip the discussions on congestion control altogether.</w:t>
      </w:r>
    </w:p>
    <w:p w14:paraId="1678B3B3" w14:textId="77777777" w:rsidR="0086567B" w:rsidRDefault="0086567B" w:rsidP="00E006F7">
      <w:pPr>
        <w:pStyle w:val="Proposal"/>
        <w:numPr>
          <w:ilvl w:val="0"/>
          <w:numId w:val="0"/>
        </w:numPr>
        <w:ind w:left="1304" w:hanging="1304"/>
      </w:pPr>
      <w:bookmarkStart w:id="72" w:name="_Toc102144042"/>
    </w:p>
    <w:p w14:paraId="591C09D1" w14:textId="1E6EA9E7" w:rsidR="00330EC8" w:rsidRPr="00CC75F4" w:rsidRDefault="00764188" w:rsidP="002402D5">
      <w:pPr>
        <w:pStyle w:val="Proposal"/>
        <w:tabs>
          <w:tab w:val="clear" w:pos="1304"/>
        </w:tabs>
      </w:pPr>
      <w:bookmarkStart w:id="73" w:name="_Toc127544577"/>
      <w:r>
        <w:t>Discussions on congestion control for SL operation in unlicensed spectrum are down-prioritized in Rel-18.</w:t>
      </w:r>
      <w:bookmarkEnd w:id="72"/>
      <w:bookmarkEnd w:id="73"/>
    </w:p>
    <w:p w14:paraId="37EB5693" w14:textId="4647C072" w:rsidR="00C01F33" w:rsidRPr="00CE0424" w:rsidRDefault="00E16A79" w:rsidP="00CE0424">
      <w:pPr>
        <w:pStyle w:val="Heading1"/>
      </w:pPr>
      <w:r>
        <w:t>6</w:t>
      </w:r>
      <w:r w:rsidR="00363301">
        <w:tab/>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64DCC4B3" w14:textId="77777777" w:rsidR="00CA7C5C" w:rsidRDefault="006F6582">
      <w:pPr>
        <w:pStyle w:val="TableofFigures"/>
        <w:tabs>
          <w:tab w:val="right" w:leader="dot" w:pos="9629"/>
        </w:tabs>
        <w:rPr>
          <w:rFonts w:asciiTheme="minorHAnsi" w:eastAsiaTheme="minorEastAsia" w:hAnsiTheme="minorHAnsi"/>
          <w:b w:val="0"/>
          <w:noProof/>
          <w:sz w:val="24"/>
          <w:szCs w:val="24"/>
          <w:lang w:val="en-SE" w:eastAsia="en-GB"/>
        </w:rPr>
      </w:pPr>
      <w:r>
        <w:rPr>
          <w:b w:val="0"/>
          <w:bCs/>
        </w:rPr>
        <w:lastRenderedPageBreak/>
        <w:fldChar w:fldCharType="begin"/>
      </w:r>
      <w:r>
        <w:rPr>
          <w:b w:val="0"/>
          <w:bCs/>
        </w:rPr>
        <w:instrText xml:space="preserve"> TOC \f O \n \h \z \t "Observation" \c </w:instrText>
      </w:r>
      <w:r>
        <w:rPr>
          <w:b w:val="0"/>
          <w:bCs/>
        </w:rPr>
        <w:fldChar w:fldCharType="separate"/>
      </w:r>
      <w:hyperlink w:anchor="_Toc127544578" w:history="1">
        <w:r w:rsidR="00CA7C5C" w:rsidRPr="00C0439C">
          <w:rPr>
            <w:rStyle w:val="Hyperlink"/>
            <w:noProof/>
          </w:rPr>
          <w:t>Observation 1</w:t>
        </w:r>
        <w:r w:rsidR="00CA7C5C">
          <w:rPr>
            <w:rFonts w:asciiTheme="minorHAnsi" w:eastAsiaTheme="minorEastAsia" w:hAnsiTheme="minorHAnsi"/>
            <w:b w:val="0"/>
            <w:noProof/>
            <w:sz w:val="24"/>
            <w:szCs w:val="24"/>
            <w:lang w:val="en-SE" w:eastAsia="en-GB"/>
          </w:rPr>
          <w:tab/>
        </w:r>
        <w:r w:rsidR="00CA7C5C" w:rsidRPr="00C0439C">
          <w:rPr>
            <w:rStyle w:val="Hyperlink"/>
            <w:noProof/>
          </w:rPr>
          <w:t>For UE-to-UE COT sharing, in case the responding SL UE(s) is any UE that can decode the SL transmission, it is unclear how to avoid blocking among several UEs when trying to access the channel.</w:t>
        </w:r>
      </w:hyperlink>
    </w:p>
    <w:p w14:paraId="0472E13F"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79" w:history="1">
        <w:r w:rsidRPr="00C0439C">
          <w:rPr>
            <w:rStyle w:val="Hyperlink"/>
            <w:noProof/>
          </w:rPr>
          <w:t>Observation 2</w:t>
        </w:r>
        <w:r>
          <w:rPr>
            <w:rFonts w:asciiTheme="minorHAnsi" w:eastAsiaTheme="minorEastAsia" w:hAnsiTheme="minorHAnsi"/>
            <w:b w:val="0"/>
            <w:noProof/>
            <w:sz w:val="24"/>
            <w:szCs w:val="24"/>
            <w:lang w:val="en-SE" w:eastAsia="en-GB"/>
          </w:rPr>
          <w:tab/>
        </w:r>
        <w:r w:rsidRPr="00C0439C">
          <w:rPr>
            <w:rStyle w:val="Hyperlink"/>
            <w:noProof/>
          </w:rPr>
          <w:t>SL transmissions in consecutive slots from the same UE cannot be considered as a transmission burst if the GP is present in every slot.</w:t>
        </w:r>
      </w:hyperlink>
    </w:p>
    <w:p w14:paraId="4637D5AC"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80" w:history="1">
        <w:r w:rsidRPr="00C0439C">
          <w:rPr>
            <w:rStyle w:val="Hyperlink"/>
            <w:noProof/>
          </w:rPr>
          <w:t>Observation 3</w:t>
        </w:r>
        <w:r>
          <w:rPr>
            <w:rFonts w:asciiTheme="minorHAnsi" w:eastAsiaTheme="minorEastAsia" w:hAnsiTheme="minorHAnsi"/>
            <w:b w:val="0"/>
            <w:noProof/>
            <w:sz w:val="24"/>
            <w:szCs w:val="24"/>
            <w:lang w:val="en-SE" w:eastAsia="en-GB"/>
          </w:rPr>
          <w:tab/>
        </w:r>
        <w:r w:rsidRPr="00C0439C">
          <w:rPr>
            <w:rStyle w:val="Hyperlink"/>
            <w:noProof/>
          </w:rPr>
          <w:t>Having different transmissions spread over time instead of concentrating them in a reduced number of slots is problematic for energy detection based CCA procedure (LBT Type 1).</w:t>
        </w:r>
      </w:hyperlink>
    </w:p>
    <w:p w14:paraId="670D12A1"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81" w:history="1">
        <w:r w:rsidRPr="00C0439C">
          <w:rPr>
            <w:rStyle w:val="Hyperlink"/>
            <w:noProof/>
          </w:rPr>
          <w:t>Observation 4</w:t>
        </w:r>
        <w:r>
          <w:rPr>
            <w:rFonts w:asciiTheme="minorHAnsi" w:eastAsiaTheme="minorEastAsia" w:hAnsiTheme="minorHAnsi"/>
            <w:b w:val="0"/>
            <w:noProof/>
            <w:sz w:val="24"/>
            <w:szCs w:val="24"/>
            <w:lang w:val="en-SE" w:eastAsia="en-GB"/>
          </w:rPr>
          <w:tab/>
        </w:r>
        <w:r w:rsidRPr="00C0439C">
          <w:rPr>
            <w:rStyle w:val="Hyperlink"/>
            <w:noProof/>
          </w:rPr>
          <w:t>The existing CW adaptation procedures are not suitable for BC and GC-1. Given the lack of positive SL HARQ feedback, there is no simple solution that can meet the ETSI regulations.</w:t>
        </w:r>
      </w:hyperlink>
    </w:p>
    <w:p w14:paraId="7B90A0F2"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82" w:history="1">
        <w:r w:rsidRPr="00C0439C">
          <w:rPr>
            <w:rStyle w:val="Hyperlink"/>
            <w:noProof/>
            <w:lang w:val="en-GB"/>
          </w:rPr>
          <w:t>Observation 5</w:t>
        </w:r>
        <w:r>
          <w:rPr>
            <w:rFonts w:asciiTheme="minorHAnsi" w:eastAsiaTheme="minorEastAsia" w:hAnsiTheme="minorHAnsi"/>
            <w:b w:val="0"/>
            <w:noProof/>
            <w:sz w:val="24"/>
            <w:szCs w:val="24"/>
            <w:lang w:val="en-SE" w:eastAsia="en-GB"/>
          </w:rPr>
          <w:tab/>
        </w:r>
        <w:r w:rsidRPr="00C0439C">
          <w:rPr>
            <w:rStyle w:val="Hyperlink"/>
            <w:noProof/>
            <w:lang w:val="en-GB"/>
          </w:rPr>
          <w:t>Random resource selection increases the chances of LBT failures in case of wideband operation.</w:t>
        </w:r>
      </w:hyperlink>
    </w:p>
    <w:p w14:paraId="767B6AC8"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83" w:history="1">
        <w:r w:rsidRPr="00C0439C">
          <w:rPr>
            <w:rStyle w:val="Hyperlink"/>
            <w:noProof/>
          </w:rPr>
          <w:t>Observation 6</w:t>
        </w:r>
        <w:r>
          <w:rPr>
            <w:rFonts w:asciiTheme="minorHAnsi" w:eastAsiaTheme="minorEastAsia" w:hAnsiTheme="minorHAnsi"/>
            <w:b w:val="0"/>
            <w:noProof/>
            <w:sz w:val="24"/>
            <w:szCs w:val="24"/>
            <w:lang w:val="en-SE" w:eastAsia="en-GB"/>
          </w:rPr>
          <w:tab/>
        </w:r>
        <w:r w:rsidRPr="00C0439C">
          <w:rPr>
            <w:rStyle w:val="Hyperlink"/>
            <w:noProof/>
          </w:rPr>
          <w:t>Small differences in timing references result in inter-UE blocking.</w:t>
        </w:r>
      </w:hyperlink>
    </w:p>
    <w:p w14:paraId="77BC790F"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84" w:history="1">
        <w:r w:rsidRPr="00C0439C">
          <w:rPr>
            <w:rStyle w:val="Hyperlink"/>
            <w:noProof/>
          </w:rPr>
          <w:t>Observation 7</w:t>
        </w:r>
        <w:r>
          <w:rPr>
            <w:rFonts w:asciiTheme="minorHAnsi" w:eastAsiaTheme="minorEastAsia" w:hAnsiTheme="minorHAnsi"/>
            <w:b w:val="0"/>
            <w:noProof/>
            <w:sz w:val="24"/>
            <w:szCs w:val="24"/>
            <w:lang w:val="en-SE" w:eastAsia="en-GB"/>
          </w:rPr>
          <w:tab/>
        </w:r>
        <w:r w:rsidRPr="00C0439C">
          <w:rPr>
            <w:rStyle w:val="Hyperlink"/>
            <w:noProof/>
          </w:rPr>
          <w:t>The congestion control procedure was introduced for operation in ITS spectrum and is not relevant for operation in unlicensed bands.</w:t>
        </w:r>
      </w:hyperlink>
    </w:p>
    <w:p w14:paraId="6225A1B8" w14:textId="2B39B930"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p w14:paraId="1652C64B" w14:textId="77777777" w:rsidR="00CA7C5C" w:rsidRDefault="006E1C82">
      <w:pPr>
        <w:pStyle w:val="TableofFigures"/>
        <w:tabs>
          <w:tab w:val="right" w:leader="dot" w:pos="9629"/>
        </w:tabs>
        <w:rPr>
          <w:rFonts w:asciiTheme="minorHAnsi" w:eastAsiaTheme="minorEastAsia" w:hAnsiTheme="minorHAnsi"/>
          <w:b w:val="0"/>
          <w:noProof/>
          <w:sz w:val="24"/>
          <w:szCs w:val="24"/>
          <w:lang w:val="en-SE" w:eastAsia="en-GB"/>
        </w:rPr>
      </w:pPr>
      <w:r>
        <w:rPr>
          <w:b w:val="0"/>
          <w:bCs/>
        </w:rPr>
        <w:fldChar w:fldCharType="begin"/>
      </w:r>
      <w:r>
        <w:rPr>
          <w:b w:val="0"/>
          <w:bCs/>
        </w:rPr>
        <w:instrText xml:space="preserve"> TOC \n \h \z \t "Proposal" \c </w:instrText>
      </w:r>
      <w:r>
        <w:rPr>
          <w:b w:val="0"/>
          <w:bCs/>
        </w:rPr>
        <w:fldChar w:fldCharType="separate"/>
      </w:r>
      <w:hyperlink w:anchor="_Toc127544543" w:history="1">
        <w:r w:rsidR="00CA7C5C" w:rsidRPr="00F979A2">
          <w:rPr>
            <w:rStyle w:val="Hyperlink"/>
            <w:noProof/>
            <w:lang w:eastAsia="ja-JP"/>
          </w:rPr>
          <w:t>Proposal 1</w:t>
        </w:r>
        <w:r w:rsidR="00CA7C5C">
          <w:rPr>
            <w:rFonts w:asciiTheme="minorHAnsi" w:eastAsiaTheme="minorEastAsia" w:hAnsiTheme="minorHAnsi"/>
            <w:b w:val="0"/>
            <w:noProof/>
            <w:sz w:val="24"/>
            <w:szCs w:val="24"/>
            <w:lang w:val="en-SE" w:eastAsia="en-GB"/>
          </w:rPr>
          <w:tab/>
        </w:r>
        <w:r w:rsidR="00CA7C5C" w:rsidRPr="00F979A2">
          <w:rPr>
            <w:rStyle w:val="Hyperlink"/>
            <w:noProof/>
          </w:rPr>
          <w:t>In Rel-18, the study of semi-static channel access procedures is down-prioritized in favor of Type 1 and Type 2 (2A and 2B) channel access procedures due to its limited applicability scenario.</w:t>
        </w:r>
      </w:hyperlink>
    </w:p>
    <w:p w14:paraId="008DEEE9"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44" w:history="1">
        <w:r w:rsidRPr="00F979A2">
          <w:rPr>
            <w:rStyle w:val="Hyperlink"/>
            <w:noProof/>
          </w:rPr>
          <w:t>Proposal 2</w:t>
        </w:r>
        <w:r>
          <w:rPr>
            <w:rFonts w:asciiTheme="minorHAnsi" w:eastAsiaTheme="minorEastAsia" w:hAnsiTheme="minorHAnsi"/>
            <w:b w:val="0"/>
            <w:noProof/>
            <w:sz w:val="24"/>
            <w:szCs w:val="24"/>
            <w:lang w:val="en-SE" w:eastAsia="en-GB"/>
          </w:rPr>
          <w:tab/>
        </w:r>
        <w:r w:rsidRPr="00F979A2">
          <w:rPr>
            <w:rStyle w:val="Hyperlink"/>
            <w:noProof/>
          </w:rPr>
          <w:t>Do not include any additional case which is not already included in the table adopted of CAPC for SL.</w:t>
        </w:r>
      </w:hyperlink>
    </w:p>
    <w:p w14:paraId="601314F1"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45" w:history="1">
        <w:r w:rsidRPr="00F979A2">
          <w:rPr>
            <w:rStyle w:val="Hyperlink"/>
            <w:noProof/>
          </w:rPr>
          <w:t>Proposal 3</w:t>
        </w:r>
        <w:r>
          <w:rPr>
            <w:rFonts w:asciiTheme="minorHAnsi" w:eastAsiaTheme="minorEastAsia" w:hAnsiTheme="minorHAnsi"/>
            <w:b w:val="0"/>
            <w:noProof/>
            <w:sz w:val="24"/>
            <w:szCs w:val="24"/>
            <w:lang w:val="en-SE" w:eastAsia="en-GB"/>
          </w:rPr>
          <w:tab/>
        </w:r>
        <w:r w:rsidRPr="00F979A2">
          <w:rPr>
            <w:rStyle w:val="Hyperlink"/>
            <w:noProof/>
          </w:rPr>
          <w:t>In the UE-to-UE COT sharing framework for the case of PSFCH, the responding UE shall always at least transmit to the initiator UE, i.e., it is not allowed to use the COT sharing to transmit PSFCH to other UEs than the initiator UE.</w:t>
        </w:r>
      </w:hyperlink>
    </w:p>
    <w:p w14:paraId="57175983"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46" w:history="1">
        <w:r w:rsidRPr="00F979A2">
          <w:rPr>
            <w:rStyle w:val="Hyperlink"/>
            <w:noProof/>
            <w:lang w:eastAsia="ja-JP"/>
          </w:rPr>
          <w:t>Proposal 4</w:t>
        </w:r>
        <w:r>
          <w:rPr>
            <w:rFonts w:asciiTheme="minorHAnsi" w:eastAsiaTheme="minorEastAsia" w:hAnsiTheme="minorHAnsi"/>
            <w:b w:val="0"/>
            <w:noProof/>
            <w:sz w:val="24"/>
            <w:szCs w:val="24"/>
            <w:lang w:val="en-SE" w:eastAsia="en-GB"/>
          </w:rPr>
          <w:tab/>
        </w:r>
        <w:r w:rsidRPr="00F979A2">
          <w:rPr>
            <w:rStyle w:val="Hyperlink"/>
            <w:noProof/>
          </w:rPr>
          <w:t>In the UE-to-UE COT sharing framework for the case of PSSCH/PSCCH, the initiator UE indicates within its COT sharing transmission the IDs of the potential additional receivers (other than itself) for the transmissions from the responding UE.</w:t>
        </w:r>
      </w:hyperlink>
    </w:p>
    <w:p w14:paraId="35D1D47A"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47" w:history="1">
        <w:r w:rsidRPr="00F979A2">
          <w:rPr>
            <w:rStyle w:val="Hyperlink"/>
            <w:noProof/>
            <w:lang w:eastAsia="ja-JP"/>
          </w:rPr>
          <w:t>Proposal 5</w:t>
        </w:r>
        <w:r>
          <w:rPr>
            <w:rFonts w:asciiTheme="minorHAnsi" w:eastAsiaTheme="minorEastAsia" w:hAnsiTheme="minorHAnsi"/>
            <w:b w:val="0"/>
            <w:noProof/>
            <w:sz w:val="24"/>
            <w:szCs w:val="24"/>
            <w:lang w:val="en-SE" w:eastAsia="en-GB"/>
          </w:rPr>
          <w:tab/>
        </w:r>
        <w:r w:rsidRPr="00F979A2">
          <w:rPr>
            <w:rStyle w:val="Hyperlink"/>
            <w:noProof/>
          </w:rPr>
          <w:t>In the UE-to-UE COT sharing framework for the case of PSSCH/PSCCH, the receiver UEs of the transmission from the responder UE are restricted, e.g., based on a group belonging or based on specific service, while always including the initiator UE.</w:t>
        </w:r>
      </w:hyperlink>
    </w:p>
    <w:p w14:paraId="4DD116A6"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48" w:history="1">
        <w:r w:rsidRPr="00F979A2">
          <w:rPr>
            <w:rStyle w:val="Hyperlink"/>
            <w:noProof/>
          </w:rPr>
          <w:t>Proposal 6</w:t>
        </w:r>
        <w:r>
          <w:rPr>
            <w:rFonts w:asciiTheme="minorHAnsi" w:eastAsiaTheme="minorEastAsia" w:hAnsiTheme="minorHAnsi"/>
            <w:b w:val="0"/>
            <w:noProof/>
            <w:sz w:val="24"/>
            <w:szCs w:val="24"/>
            <w:lang w:val="en-SE" w:eastAsia="en-GB"/>
          </w:rPr>
          <w:tab/>
        </w:r>
        <w:r w:rsidRPr="00F979A2">
          <w:rPr>
            <w:rStyle w:val="Hyperlink"/>
            <w:noProof/>
          </w:rPr>
          <w:t>COT information is not shared or forwarded for any type of transmissions between different UEs.</w:t>
        </w:r>
      </w:hyperlink>
    </w:p>
    <w:p w14:paraId="695EBF56"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49" w:history="1">
        <w:r w:rsidRPr="00F979A2">
          <w:rPr>
            <w:rStyle w:val="Hyperlink"/>
            <w:noProof/>
          </w:rPr>
          <w:t>Proposal 7</w:t>
        </w:r>
        <w:r>
          <w:rPr>
            <w:rFonts w:asciiTheme="minorHAnsi" w:eastAsiaTheme="minorEastAsia" w:hAnsiTheme="minorHAnsi"/>
            <w:b w:val="0"/>
            <w:noProof/>
            <w:sz w:val="24"/>
            <w:szCs w:val="24"/>
            <w:lang w:val="en-SE" w:eastAsia="en-GB"/>
          </w:rPr>
          <w:tab/>
        </w:r>
        <w:r w:rsidRPr="00F979A2">
          <w:rPr>
            <w:rStyle w:val="Hyperlink"/>
            <w:noProof/>
          </w:rPr>
          <w:t>The responding UE needs to ensure that the PSFCH transmission for the initiator UE is transmitted during the PSFCH occasion under the COT sharing mechanism, i.e., by means of re-prioritization of resources if needed.</w:t>
        </w:r>
      </w:hyperlink>
    </w:p>
    <w:p w14:paraId="72DF28B2"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0" w:history="1">
        <w:r w:rsidRPr="00F979A2">
          <w:rPr>
            <w:rStyle w:val="Hyperlink"/>
            <w:noProof/>
            <w:lang w:eastAsia="en-GB"/>
          </w:rPr>
          <w:t>Proposal 8</w:t>
        </w:r>
        <w:r>
          <w:rPr>
            <w:rFonts w:asciiTheme="minorHAnsi" w:eastAsiaTheme="minorEastAsia" w:hAnsiTheme="minorHAnsi"/>
            <w:b w:val="0"/>
            <w:noProof/>
            <w:sz w:val="24"/>
            <w:szCs w:val="24"/>
            <w:lang w:val="en-SE" w:eastAsia="en-GB"/>
          </w:rPr>
          <w:tab/>
        </w:r>
        <w:r w:rsidRPr="00F979A2">
          <w:rPr>
            <w:rStyle w:val="Hyperlink"/>
            <w:noProof/>
          </w:rPr>
          <w:t xml:space="preserve">For the case of PSCCH/PSSCH transmission, the responding UE needs to ensure that the transmission intended for the initiator UE and the </w:t>
        </w:r>
        <w:r w:rsidRPr="00F979A2">
          <w:rPr>
            <w:rStyle w:val="Hyperlink"/>
            <w:noProof/>
            <w:lang w:eastAsia="en-GB"/>
          </w:rPr>
          <w:t>UEs belonging to the IDs indicated in the COT sharing</w:t>
        </w:r>
        <w:r w:rsidRPr="00F979A2">
          <w:rPr>
            <w:rStyle w:val="Hyperlink"/>
            <w:noProof/>
          </w:rPr>
          <w:t xml:space="preserve"> are transmitted within the COT sharing, i.e., by means of re-prioritization of transmissions.</w:t>
        </w:r>
      </w:hyperlink>
    </w:p>
    <w:p w14:paraId="7629286D"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1" w:history="1">
        <w:r w:rsidRPr="00F979A2">
          <w:rPr>
            <w:rStyle w:val="Hyperlink"/>
            <w:noProof/>
            <w:lang w:val="en-GB"/>
          </w:rPr>
          <w:t>Proposal 9</w:t>
        </w:r>
        <w:r>
          <w:rPr>
            <w:rFonts w:asciiTheme="minorHAnsi" w:eastAsiaTheme="minorEastAsia" w:hAnsiTheme="minorHAnsi"/>
            <w:b w:val="0"/>
            <w:noProof/>
            <w:sz w:val="24"/>
            <w:szCs w:val="24"/>
            <w:lang w:val="en-SE" w:eastAsia="en-GB"/>
          </w:rPr>
          <w:tab/>
        </w:r>
        <w:r w:rsidRPr="00F979A2">
          <w:rPr>
            <w:rStyle w:val="Hyperlink"/>
            <w:noProof/>
          </w:rPr>
          <w:t>A UE transmits during the guard period if it intends to transmit in the following symbol (e</w:t>
        </w:r>
        <w:r w:rsidRPr="00F979A2">
          <w:rPr>
            <w:rStyle w:val="Hyperlink"/>
            <w:noProof/>
            <w:lang w:val="en-GB"/>
          </w:rPr>
          <w:t>.</w:t>
        </w:r>
        <w:r w:rsidRPr="00F979A2">
          <w:rPr>
            <w:rStyle w:val="Hyperlink"/>
            <w:noProof/>
          </w:rPr>
          <w:t>g., when using MCSt) if the COT is not exhausted.</w:t>
        </w:r>
      </w:hyperlink>
    </w:p>
    <w:p w14:paraId="2400CFDE"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2" w:history="1">
        <w:r w:rsidRPr="00F979A2">
          <w:rPr>
            <w:rStyle w:val="Hyperlink"/>
            <w:noProof/>
            <w:lang w:val="en-GB"/>
          </w:rPr>
          <w:t>Proposal 10</w:t>
        </w:r>
        <w:r>
          <w:rPr>
            <w:rFonts w:asciiTheme="minorHAnsi" w:eastAsiaTheme="minorEastAsia" w:hAnsiTheme="minorHAnsi"/>
            <w:b w:val="0"/>
            <w:noProof/>
            <w:sz w:val="24"/>
            <w:szCs w:val="24"/>
            <w:lang w:val="en-SE" w:eastAsia="en-GB"/>
          </w:rPr>
          <w:tab/>
        </w:r>
        <w:r w:rsidRPr="00F979A2">
          <w:rPr>
            <w:rStyle w:val="Hyperlink"/>
            <w:noProof/>
          </w:rPr>
          <w:t>If the GP symbol is not used, then it carries PSSCH symbols.</w:t>
        </w:r>
      </w:hyperlink>
    </w:p>
    <w:p w14:paraId="4E332B46"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3" w:history="1">
        <w:r w:rsidRPr="00F979A2">
          <w:rPr>
            <w:rStyle w:val="Hyperlink"/>
            <w:rFonts w:cs="Arial"/>
            <w:noProof/>
            <w:lang w:val="en-GB" w:eastAsia="ja-JP"/>
          </w:rPr>
          <w:t>Proposal 11</w:t>
        </w:r>
        <w:r>
          <w:rPr>
            <w:rFonts w:asciiTheme="minorHAnsi" w:eastAsiaTheme="minorEastAsia" w:hAnsiTheme="minorHAnsi"/>
            <w:b w:val="0"/>
            <w:noProof/>
            <w:sz w:val="24"/>
            <w:szCs w:val="24"/>
            <w:lang w:val="en-SE" w:eastAsia="en-GB"/>
          </w:rPr>
          <w:tab/>
        </w:r>
        <w:r w:rsidRPr="00F979A2">
          <w:rPr>
            <w:rStyle w:val="Hyperlink"/>
            <w:rFonts w:cs="Arial"/>
            <w:noProof/>
            <w:lang w:val="en-GB" w:eastAsia="ja-JP"/>
          </w:rPr>
          <w:t>NR SL-U Mode 2 supports opportunistic transmission (i.e., early transmission) based on LBT success.</w:t>
        </w:r>
      </w:hyperlink>
    </w:p>
    <w:p w14:paraId="1C0FFC0A"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4" w:history="1">
        <w:r w:rsidRPr="00F979A2">
          <w:rPr>
            <w:rStyle w:val="Hyperlink"/>
            <w:noProof/>
          </w:rPr>
          <w:t>Proposal 12</w:t>
        </w:r>
        <w:r>
          <w:rPr>
            <w:rFonts w:asciiTheme="minorHAnsi" w:eastAsiaTheme="minorEastAsia" w:hAnsiTheme="minorHAnsi"/>
            <w:b w:val="0"/>
            <w:noProof/>
            <w:sz w:val="24"/>
            <w:szCs w:val="24"/>
            <w:lang w:val="en-SE" w:eastAsia="en-GB"/>
          </w:rPr>
          <w:tab/>
        </w:r>
        <w:r w:rsidRPr="00F979A2">
          <w:rPr>
            <w:rStyle w:val="Hyperlink"/>
            <w:noProof/>
          </w:rPr>
          <w:t>Specify ‘frequency-first selection’ during resource selection from the candidate of available resources.</w:t>
        </w:r>
      </w:hyperlink>
    </w:p>
    <w:p w14:paraId="2C44DCC8"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5" w:history="1">
        <w:r w:rsidRPr="00F979A2">
          <w:rPr>
            <w:rStyle w:val="Hyperlink"/>
            <w:rFonts w:cs="Arial"/>
            <w:noProof/>
            <w:lang w:val="en-GB" w:eastAsia="ja-JP"/>
          </w:rPr>
          <w:t>Proposal 13</w:t>
        </w:r>
        <w:r>
          <w:rPr>
            <w:rFonts w:asciiTheme="minorHAnsi" w:eastAsiaTheme="minorEastAsia" w:hAnsiTheme="minorHAnsi"/>
            <w:b w:val="0"/>
            <w:noProof/>
            <w:sz w:val="24"/>
            <w:szCs w:val="24"/>
            <w:lang w:val="en-SE" w:eastAsia="en-GB"/>
          </w:rPr>
          <w:tab/>
        </w:r>
        <w:r w:rsidRPr="00F979A2">
          <w:rPr>
            <w:rStyle w:val="Hyperlink"/>
            <w:rFonts w:cs="Arial"/>
            <w:noProof/>
            <w:lang w:val="en-GB" w:eastAsia="ja-JP"/>
          </w:rPr>
          <w:t>The resource re-evaluation procedure is used to reduce the spread of transmissions in time prior to sending a reservation.</w:t>
        </w:r>
      </w:hyperlink>
    </w:p>
    <w:p w14:paraId="68D6B3A1"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6" w:history="1">
        <w:r w:rsidRPr="00F979A2">
          <w:rPr>
            <w:rStyle w:val="Hyperlink"/>
            <w:rFonts w:cs="Arial"/>
            <w:noProof/>
            <w:lang w:val="en-GB" w:eastAsia="ja-JP"/>
          </w:rPr>
          <w:t>Proposal 14</w:t>
        </w:r>
        <w:r>
          <w:rPr>
            <w:rFonts w:asciiTheme="minorHAnsi" w:eastAsiaTheme="minorEastAsia" w:hAnsiTheme="minorHAnsi"/>
            <w:b w:val="0"/>
            <w:noProof/>
            <w:sz w:val="24"/>
            <w:szCs w:val="24"/>
            <w:lang w:val="en-SE" w:eastAsia="en-GB"/>
          </w:rPr>
          <w:tab/>
        </w:r>
        <w:r w:rsidRPr="00F979A2">
          <w:rPr>
            <w:rStyle w:val="Hyperlink"/>
            <w:rFonts w:cs="Arial"/>
            <w:noProof/>
            <w:lang w:val="en-GB" w:eastAsia="ja-JP"/>
          </w:rPr>
          <w:t>LBT failure before the selected resource triggers resource re-selection.</w:t>
        </w:r>
      </w:hyperlink>
    </w:p>
    <w:p w14:paraId="0FB61290"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7" w:history="1">
        <w:r w:rsidRPr="00F979A2">
          <w:rPr>
            <w:rStyle w:val="Hyperlink"/>
            <w:noProof/>
          </w:rPr>
          <w:t>Proposal 15</w:t>
        </w:r>
        <w:r>
          <w:rPr>
            <w:rFonts w:asciiTheme="minorHAnsi" w:eastAsiaTheme="minorEastAsia" w:hAnsiTheme="minorHAnsi"/>
            <w:b w:val="0"/>
            <w:noProof/>
            <w:sz w:val="24"/>
            <w:szCs w:val="24"/>
            <w:lang w:val="en-SE" w:eastAsia="en-GB"/>
          </w:rPr>
          <w:tab/>
        </w:r>
        <w:r w:rsidRPr="00F979A2">
          <w:rPr>
            <w:rStyle w:val="Hyperlink"/>
            <w:noProof/>
          </w:rPr>
          <w:t>For MCSt, the CW is reset if at least one SL HARQ-ACK feedback for the TB(s) within the ‘reference duration’ is ‘ACK’.</w:t>
        </w:r>
      </w:hyperlink>
    </w:p>
    <w:p w14:paraId="56F2E771"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8" w:history="1">
        <w:r w:rsidRPr="00F979A2">
          <w:rPr>
            <w:rStyle w:val="Hyperlink"/>
            <w:noProof/>
          </w:rPr>
          <w:t>Proposal 16</w:t>
        </w:r>
        <w:r>
          <w:rPr>
            <w:rFonts w:asciiTheme="minorHAnsi" w:eastAsiaTheme="minorEastAsia" w:hAnsiTheme="minorHAnsi"/>
            <w:b w:val="0"/>
            <w:noProof/>
            <w:sz w:val="24"/>
            <w:szCs w:val="24"/>
            <w:lang w:val="en-SE" w:eastAsia="en-GB"/>
          </w:rPr>
          <w:tab/>
        </w:r>
        <w:r w:rsidRPr="00F979A2">
          <w:rPr>
            <w:rStyle w:val="Hyperlink"/>
            <w:noProof/>
          </w:rPr>
          <w:t>For GC-2, the CW is reset if at least one SL HARQ-ACK feedback for the TB(s) (from any RX UE) within the ‘reference duration’ is ‘ACK’ (Option 2).</w:t>
        </w:r>
      </w:hyperlink>
    </w:p>
    <w:p w14:paraId="3FA5BEAE"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59" w:history="1">
        <w:r w:rsidRPr="00F979A2">
          <w:rPr>
            <w:rStyle w:val="Hyperlink"/>
            <w:noProof/>
          </w:rPr>
          <w:t>Proposal 17</w:t>
        </w:r>
        <w:r>
          <w:rPr>
            <w:rFonts w:asciiTheme="minorHAnsi" w:eastAsiaTheme="minorEastAsia" w:hAnsiTheme="minorHAnsi"/>
            <w:b w:val="0"/>
            <w:noProof/>
            <w:sz w:val="24"/>
            <w:szCs w:val="24"/>
            <w:lang w:val="en-SE" w:eastAsia="en-GB"/>
          </w:rPr>
          <w:tab/>
        </w:r>
        <w:r w:rsidRPr="00F979A2">
          <w:rPr>
            <w:rStyle w:val="Hyperlink"/>
            <w:noProof/>
          </w:rPr>
          <w:t>SL-U transmissions without associated SL HARQ FB are not supported in Rel-18.</w:t>
        </w:r>
      </w:hyperlink>
    </w:p>
    <w:p w14:paraId="5490F0E0"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0" w:history="1">
        <w:r w:rsidRPr="00F979A2">
          <w:rPr>
            <w:rStyle w:val="Hyperlink"/>
            <w:noProof/>
          </w:rPr>
          <w:t>Proposal 18</w:t>
        </w:r>
        <w:r>
          <w:rPr>
            <w:rFonts w:asciiTheme="minorHAnsi" w:eastAsiaTheme="minorEastAsia" w:hAnsiTheme="minorHAnsi"/>
            <w:b w:val="0"/>
            <w:noProof/>
            <w:sz w:val="24"/>
            <w:szCs w:val="24"/>
            <w:lang w:val="en-SE" w:eastAsia="en-GB"/>
          </w:rPr>
          <w:tab/>
        </w:r>
        <w:r w:rsidRPr="00F979A2">
          <w:rPr>
            <w:rStyle w:val="Hyperlink"/>
            <w:noProof/>
          </w:rPr>
          <w:t>Option 1a is used for defining the ‘reference duration’ including MCSt (FFS MCSt starting in the second starting point of a slot).</w:t>
        </w:r>
      </w:hyperlink>
    </w:p>
    <w:p w14:paraId="5775AF25"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1" w:history="1">
        <w:r w:rsidRPr="00F979A2">
          <w:rPr>
            <w:rStyle w:val="Hyperlink"/>
            <w:noProof/>
          </w:rPr>
          <w:t>Proposal 19</w:t>
        </w:r>
        <w:r>
          <w:rPr>
            <w:rFonts w:asciiTheme="minorHAnsi" w:eastAsiaTheme="minorEastAsia" w:hAnsiTheme="minorHAnsi"/>
            <w:b w:val="0"/>
            <w:noProof/>
            <w:sz w:val="24"/>
            <w:szCs w:val="24"/>
            <w:lang w:val="en-SE" w:eastAsia="en-GB"/>
          </w:rPr>
          <w:tab/>
        </w:r>
        <w:r w:rsidRPr="00F979A2">
          <w:rPr>
            <w:rStyle w:val="Hyperlink"/>
            <w:noProof/>
          </w:rPr>
          <w:t>SL bandwidth part and SL resource pool can be (pre-)configured to be an integer multiple of RBsets or channels.</w:t>
        </w:r>
      </w:hyperlink>
    </w:p>
    <w:p w14:paraId="58CCFC40"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2" w:history="1">
        <w:r w:rsidRPr="00F979A2">
          <w:rPr>
            <w:rStyle w:val="Hyperlink"/>
            <w:rFonts w:eastAsia="MS Mincho"/>
            <w:noProof/>
            <w:lang w:eastAsia="x-none"/>
          </w:rPr>
          <w:t>Proposal 20</w:t>
        </w:r>
        <w:r>
          <w:rPr>
            <w:rFonts w:asciiTheme="minorHAnsi" w:eastAsiaTheme="minorEastAsia" w:hAnsiTheme="minorHAnsi"/>
            <w:b w:val="0"/>
            <w:noProof/>
            <w:sz w:val="24"/>
            <w:szCs w:val="24"/>
            <w:lang w:val="en-SE" w:eastAsia="en-GB"/>
          </w:rPr>
          <w:tab/>
        </w:r>
        <w:r w:rsidRPr="00F979A2">
          <w:rPr>
            <w:rStyle w:val="Hyperlink"/>
            <w:noProof/>
          </w:rPr>
          <w:t>RAN1 specifies enhancements to resource selection for wideband mode such that the selected resources are confined within a single channel unless TB size demands otherwise.</w:t>
        </w:r>
      </w:hyperlink>
    </w:p>
    <w:p w14:paraId="4AF60CF9"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3" w:history="1">
        <w:r w:rsidRPr="00F979A2">
          <w:rPr>
            <w:rStyle w:val="Hyperlink"/>
            <w:noProof/>
          </w:rPr>
          <w:t>Proposal 21</w:t>
        </w:r>
        <w:r>
          <w:rPr>
            <w:rFonts w:asciiTheme="minorHAnsi" w:eastAsiaTheme="minorEastAsia" w:hAnsiTheme="minorHAnsi"/>
            <w:b w:val="0"/>
            <w:noProof/>
            <w:sz w:val="24"/>
            <w:szCs w:val="24"/>
            <w:lang w:val="en-SE" w:eastAsia="en-GB"/>
          </w:rPr>
          <w:tab/>
        </w:r>
        <w:r w:rsidRPr="00F979A2">
          <w:rPr>
            <w:rStyle w:val="Hyperlink"/>
            <w:noProof/>
          </w:rPr>
          <w:t>When a UE triggers the operation of multi-consecutive slots transmission, it performs the resource reservation procedure ensuring the allocation of consecutive resources for multiple TBs. In case there are not contiguous slots available to the already reserved ones, the UE might trigger resource reselection for all the TBs.</w:t>
        </w:r>
      </w:hyperlink>
    </w:p>
    <w:p w14:paraId="5C5C919C"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4" w:history="1">
        <w:r w:rsidRPr="00F979A2">
          <w:rPr>
            <w:rStyle w:val="Hyperlink"/>
            <w:noProof/>
          </w:rPr>
          <w:t>Proposal 22</w:t>
        </w:r>
        <w:r>
          <w:rPr>
            <w:rFonts w:asciiTheme="minorHAnsi" w:eastAsiaTheme="minorEastAsia" w:hAnsiTheme="minorHAnsi"/>
            <w:b w:val="0"/>
            <w:noProof/>
            <w:sz w:val="24"/>
            <w:szCs w:val="24"/>
            <w:lang w:val="en-SE" w:eastAsia="en-GB"/>
          </w:rPr>
          <w:tab/>
        </w:r>
        <w:r w:rsidRPr="00F979A2">
          <w:rPr>
            <w:rStyle w:val="Hyperlink"/>
            <w:noProof/>
          </w:rPr>
          <w:t>L1 reports candidate single-slot resources in (SA) as in Rel-16:</w:t>
        </w:r>
      </w:hyperlink>
    </w:p>
    <w:p w14:paraId="664AEFC0"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5" w:history="1">
        <w:r w:rsidRPr="00F979A2">
          <w:rPr>
            <w:rStyle w:val="Hyperlink"/>
            <w:rFonts w:ascii="Wingdings" w:hAnsi="Wingdings"/>
            <w:noProof/>
          </w:rPr>
          <w:t></w:t>
        </w:r>
        <w:r>
          <w:rPr>
            <w:rFonts w:asciiTheme="minorHAnsi" w:eastAsiaTheme="minorEastAsia" w:hAnsiTheme="minorHAnsi"/>
            <w:b w:val="0"/>
            <w:noProof/>
            <w:sz w:val="24"/>
            <w:szCs w:val="24"/>
            <w:lang w:val="en-SE" w:eastAsia="en-GB"/>
          </w:rPr>
          <w:tab/>
        </w:r>
        <w:r w:rsidRPr="00F979A2">
          <w:rPr>
            <w:rStyle w:val="Hyperlink"/>
            <w:noProof/>
          </w:rPr>
          <w:t>Selection of the first resource in a MCSt follows the legacy procedures.</w:t>
        </w:r>
      </w:hyperlink>
    </w:p>
    <w:p w14:paraId="63DC9009"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6" w:history="1">
        <w:r w:rsidRPr="00F979A2">
          <w:rPr>
            <w:rStyle w:val="Hyperlink"/>
            <w:rFonts w:ascii="Wingdings" w:hAnsi="Wingdings"/>
            <w:noProof/>
          </w:rPr>
          <w:t></w:t>
        </w:r>
        <w:r>
          <w:rPr>
            <w:rFonts w:asciiTheme="minorHAnsi" w:eastAsiaTheme="minorEastAsia" w:hAnsiTheme="minorHAnsi"/>
            <w:b w:val="0"/>
            <w:noProof/>
            <w:sz w:val="24"/>
            <w:szCs w:val="24"/>
            <w:lang w:val="en-SE" w:eastAsia="en-GB"/>
          </w:rPr>
          <w:tab/>
        </w:r>
        <w:r w:rsidRPr="00F979A2">
          <w:rPr>
            <w:rStyle w:val="Hyperlink"/>
            <w:noProof/>
          </w:rPr>
          <w:t>For the subsequent resources, the TX UE disregards the reservations (FFS exceptions, based on priority).</w:t>
        </w:r>
      </w:hyperlink>
    </w:p>
    <w:p w14:paraId="1F8E89B4"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7" w:history="1">
        <w:r w:rsidRPr="00F979A2">
          <w:rPr>
            <w:rStyle w:val="Hyperlink"/>
            <w:noProof/>
          </w:rPr>
          <w:t>Proposal 23</w:t>
        </w:r>
        <w:r>
          <w:rPr>
            <w:rFonts w:asciiTheme="minorHAnsi" w:eastAsiaTheme="minorEastAsia" w:hAnsiTheme="minorHAnsi"/>
            <w:b w:val="0"/>
            <w:noProof/>
            <w:sz w:val="24"/>
            <w:szCs w:val="24"/>
            <w:lang w:val="en-SE" w:eastAsia="en-GB"/>
          </w:rPr>
          <w:tab/>
        </w:r>
        <w:r w:rsidRPr="00F979A2">
          <w:rPr>
            <w:rStyle w:val="Hyperlink"/>
            <w:noProof/>
          </w:rPr>
          <w:t>Only one set of parameters is provided for resource selection in L1 (Option 1).</w:t>
        </w:r>
      </w:hyperlink>
    </w:p>
    <w:p w14:paraId="3A458F77"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8" w:history="1">
        <w:r w:rsidRPr="00F979A2">
          <w:rPr>
            <w:rStyle w:val="Hyperlink"/>
            <w:noProof/>
          </w:rPr>
          <w:t>Proposal 24</w:t>
        </w:r>
        <w:r>
          <w:rPr>
            <w:rFonts w:asciiTheme="minorHAnsi" w:eastAsiaTheme="minorEastAsia" w:hAnsiTheme="minorHAnsi"/>
            <w:b w:val="0"/>
            <w:noProof/>
            <w:sz w:val="24"/>
            <w:szCs w:val="24"/>
            <w:lang w:val="en-SE" w:eastAsia="en-GB"/>
          </w:rPr>
          <w:tab/>
        </w:r>
        <w:r w:rsidRPr="00F979A2">
          <w:rPr>
            <w:rStyle w:val="Hyperlink"/>
            <w:noProof/>
          </w:rPr>
          <w:t>L1 reports a subset (S</w:t>
        </w:r>
        <w:r w:rsidRPr="00F979A2">
          <w:rPr>
            <w:rStyle w:val="Hyperlink"/>
            <w:noProof/>
            <w:vertAlign w:val="subscript"/>
          </w:rPr>
          <w:t>A</w:t>
        </w:r>
        <w:r w:rsidRPr="00F979A2">
          <w:rPr>
            <w:rStyle w:val="Hyperlink"/>
            <w:noProof/>
          </w:rPr>
          <w:t>) of candidate multislot resources for MCSt (Option A)</w:t>
        </w:r>
      </w:hyperlink>
    </w:p>
    <w:p w14:paraId="199D903D"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69" w:history="1">
        <w:r w:rsidRPr="00F979A2">
          <w:rPr>
            <w:rStyle w:val="Hyperlink"/>
            <w:noProof/>
          </w:rPr>
          <w:t>Proposal 25</w:t>
        </w:r>
        <w:r>
          <w:rPr>
            <w:rFonts w:asciiTheme="minorHAnsi" w:eastAsiaTheme="minorEastAsia" w:hAnsiTheme="minorHAnsi"/>
            <w:b w:val="0"/>
            <w:noProof/>
            <w:sz w:val="24"/>
            <w:szCs w:val="24"/>
            <w:lang w:val="en-SE" w:eastAsia="en-GB"/>
          </w:rPr>
          <w:tab/>
        </w:r>
        <w:r w:rsidRPr="00F979A2">
          <w:rPr>
            <w:rStyle w:val="Hyperlink"/>
            <w:noProof/>
          </w:rPr>
          <w:t>Re-use the legacy procedure where one SCI reserves up to two resources for further transmissions.</w:t>
        </w:r>
      </w:hyperlink>
    </w:p>
    <w:p w14:paraId="4CB33CFD"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70" w:history="1">
        <w:r w:rsidRPr="00F979A2">
          <w:rPr>
            <w:rStyle w:val="Hyperlink"/>
            <w:noProof/>
          </w:rPr>
          <w:t>Proposal 26</w:t>
        </w:r>
        <w:r>
          <w:rPr>
            <w:rFonts w:asciiTheme="minorHAnsi" w:eastAsiaTheme="minorEastAsia" w:hAnsiTheme="minorHAnsi"/>
            <w:b w:val="0"/>
            <w:noProof/>
            <w:sz w:val="24"/>
            <w:szCs w:val="24"/>
            <w:lang w:val="en-SE" w:eastAsia="en-GB"/>
          </w:rPr>
          <w:tab/>
        </w:r>
        <w:r w:rsidRPr="00F979A2">
          <w:rPr>
            <w:rStyle w:val="Hyperlink"/>
            <w:noProof/>
          </w:rPr>
          <w:t>Resources reserved by PSCCH scheduling one TB can be used for (re)transmission of a different TB. FFS details.</w:t>
        </w:r>
      </w:hyperlink>
    </w:p>
    <w:p w14:paraId="1337A508"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71" w:history="1">
        <w:r w:rsidRPr="00F979A2">
          <w:rPr>
            <w:rStyle w:val="Hyperlink"/>
            <w:noProof/>
          </w:rPr>
          <w:t>Proposal 27</w:t>
        </w:r>
        <w:r>
          <w:rPr>
            <w:rFonts w:asciiTheme="minorHAnsi" w:eastAsiaTheme="minorEastAsia" w:hAnsiTheme="minorHAnsi"/>
            <w:b w:val="0"/>
            <w:noProof/>
            <w:sz w:val="24"/>
            <w:szCs w:val="24"/>
            <w:lang w:val="en-SE" w:eastAsia="en-GB"/>
          </w:rPr>
          <w:tab/>
        </w:r>
        <w:r w:rsidRPr="00F979A2">
          <w:rPr>
            <w:rStyle w:val="Hyperlink"/>
            <w:noProof/>
          </w:rPr>
          <w:t>Timing offsets are used for preventing inter-UE blocking of high-priority transmissions and transmissions on reserved resources.</w:t>
        </w:r>
      </w:hyperlink>
    </w:p>
    <w:p w14:paraId="58C2E5B1"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72" w:history="1">
        <w:r w:rsidRPr="00F979A2">
          <w:rPr>
            <w:rStyle w:val="Hyperlink"/>
            <w:noProof/>
          </w:rPr>
          <w:t>Proposal 28</w:t>
        </w:r>
        <w:r>
          <w:rPr>
            <w:rFonts w:asciiTheme="minorHAnsi" w:eastAsiaTheme="minorEastAsia" w:hAnsiTheme="minorHAnsi"/>
            <w:b w:val="0"/>
            <w:noProof/>
            <w:sz w:val="24"/>
            <w:szCs w:val="24"/>
            <w:lang w:val="en-SE" w:eastAsia="en-GB"/>
          </w:rPr>
          <w:tab/>
        </w:r>
        <w:r w:rsidRPr="00F979A2">
          <w:rPr>
            <w:rStyle w:val="Hyperlink"/>
            <w:noProof/>
          </w:rPr>
          <w:t>A TX UE avoids using the first starting point in a slot if it expects a PSFCH transmission by another UE.</w:t>
        </w:r>
      </w:hyperlink>
    </w:p>
    <w:p w14:paraId="47F2A392"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73" w:history="1">
        <w:r w:rsidRPr="00F979A2">
          <w:rPr>
            <w:rStyle w:val="Hyperlink"/>
            <w:noProof/>
          </w:rPr>
          <w:t>Proposal 29</w:t>
        </w:r>
        <w:r>
          <w:rPr>
            <w:rFonts w:asciiTheme="minorHAnsi" w:eastAsiaTheme="minorEastAsia" w:hAnsiTheme="minorHAnsi"/>
            <w:b w:val="0"/>
            <w:noProof/>
            <w:sz w:val="24"/>
            <w:szCs w:val="24"/>
            <w:lang w:val="en-SE" w:eastAsia="en-GB"/>
          </w:rPr>
          <w:tab/>
        </w:r>
        <w:r w:rsidRPr="00F979A2">
          <w:rPr>
            <w:rStyle w:val="Hyperlink"/>
            <w:noProof/>
            <w:lang w:val="en-GB"/>
          </w:rPr>
          <w:t>RAN1 to postpone the work on Mode 1 until the main changes of the SL interface are defined (e.g., SL HARQ protocol, SCI contents, etc.).</w:t>
        </w:r>
      </w:hyperlink>
    </w:p>
    <w:p w14:paraId="427A03F0"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74" w:history="1">
        <w:r w:rsidRPr="00F979A2">
          <w:rPr>
            <w:rStyle w:val="Hyperlink"/>
            <w:noProof/>
            <w:lang w:eastAsia="ja-JP"/>
          </w:rPr>
          <w:t>Proposal 30</w:t>
        </w:r>
        <w:r>
          <w:rPr>
            <w:rFonts w:asciiTheme="minorHAnsi" w:eastAsiaTheme="minorEastAsia" w:hAnsiTheme="minorHAnsi"/>
            <w:b w:val="0"/>
            <w:noProof/>
            <w:sz w:val="24"/>
            <w:szCs w:val="24"/>
            <w:lang w:val="en-SE" w:eastAsia="en-GB"/>
          </w:rPr>
          <w:tab/>
        </w:r>
        <w:r w:rsidRPr="00F979A2">
          <w:rPr>
            <w:rStyle w:val="Hyperlink"/>
            <w:noProof/>
            <w:lang w:val="en-GB"/>
          </w:rPr>
          <w:t>RAN1 to address inter-UE blocking for Mode 1. Details FFS.</w:t>
        </w:r>
      </w:hyperlink>
    </w:p>
    <w:p w14:paraId="5DF5D73E"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75" w:history="1">
        <w:r w:rsidRPr="00F979A2">
          <w:rPr>
            <w:rStyle w:val="Hyperlink"/>
            <w:noProof/>
          </w:rPr>
          <w:t>Proposal 31</w:t>
        </w:r>
        <w:r>
          <w:rPr>
            <w:rFonts w:asciiTheme="minorHAnsi" w:eastAsiaTheme="minorEastAsia" w:hAnsiTheme="minorHAnsi"/>
            <w:b w:val="0"/>
            <w:noProof/>
            <w:sz w:val="24"/>
            <w:szCs w:val="24"/>
            <w:lang w:val="en-SE" w:eastAsia="en-GB"/>
          </w:rPr>
          <w:tab/>
        </w:r>
        <w:r w:rsidRPr="00F979A2">
          <w:rPr>
            <w:rStyle w:val="Hyperlink"/>
            <w:noProof/>
          </w:rPr>
          <w:t>UE reports of COT information to gNB for aiding Mode 1 RA are not supported</w:t>
        </w:r>
      </w:hyperlink>
    </w:p>
    <w:p w14:paraId="3B4F432F"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76" w:history="1">
        <w:r w:rsidRPr="00F979A2">
          <w:rPr>
            <w:rStyle w:val="Hyperlink"/>
            <w:noProof/>
          </w:rPr>
          <w:t>Proposal 32</w:t>
        </w:r>
        <w:r>
          <w:rPr>
            <w:rFonts w:asciiTheme="minorHAnsi" w:eastAsiaTheme="minorEastAsia" w:hAnsiTheme="minorHAnsi"/>
            <w:b w:val="0"/>
            <w:noProof/>
            <w:sz w:val="24"/>
            <w:szCs w:val="24"/>
            <w:lang w:val="en-SE" w:eastAsia="en-GB"/>
          </w:rPr>
          <w:tab/>
        </w:r>
        <w:r w:rsidRPr="00F979A2">
          <w:rPr>
            <w:rStyle w:val="Hyperlink"/>
            <w:noProof/>
          </w:rPr>
          <w:t>CPE offsets are used for preventing inter-UE blocking of Mode-1 UEs and other UEs.</w:t>
        </w:r>
      </w:hyperlink>
    </w:p>
    <w:p w14:paraId="6AD13DDC" w14:textId="77777777" w:rsidR="00CA7C5C" w:rsidRDefault="00CA7C5C">
      <w:pPr>
        <w:pStyle w:val="TableofFigures"/>
        <w:tabs>
          <w:tab w:val="right" w:leader="dot" w:pos="9629"/>
        </w:tabs>
        <w:rPr>
          <w:rFonts w:asciiTheme="minorHAnsi" w:eastAsiaTheme="minorEastAsia" w:hAnsiTheme="minorHAnsi"/>
          <w:b w:val="0"/>
          <w:noProof/>
          <w:sz w:val="24"/>
          <w:szCs w:val="24"/>
          <w:lang w:val="en-SE" w:eastAsia="en-GB"/>
        </w:rPr>
      </w:pPr>
      <w:hyperlink w:anchor="_Toc127544577" w:history="1">
        <w:r w:rsidRPr="00F979A2">
          <w:rPr>
            <w:rStyle w:val="Hyperlink"/>
            <w:noProof/>
          </w:rPr>
          <w:t>Proposal 33</w:t>
        </w:r>
        <w:r>
          <w:rPr>
            <w:rFonts w:asciiTheme="minorHAnsi" w:eastAsiaTheme="minorEastAsia" w:hAnsiTheme="minorHAnsi"/>
            <w:b w:val="0"/>
            <w:noProof/>
            <w:sz w:val="24"/>
            <w:szCs w:val="24"/>
            <w:lang w:val="en-SE" w:eastAsia="en-GB"/>
          </w:rPr>
          <w:tab/>
        </w:r>
        <w:r w:rsidRPr="00F979A2">
          <w:rPr>
            <w:rStyle w:val="Hyperlink"/>
            <w:noProof/>
          </w:rPr>
          <w:t>Discussions on congestion control for SL operation in unlicensed spectrum are down-prioritized in Rel-18.</w:t>
        </w:r>
      </w:hyperlink>
    </w:p>
    <w:p w14:paraId="58ACA235" w14:textId="5D29320C" w:rsidR="00C01F33" w:rsidRPr="00CE0424" w:rsidRDefault="006E1C82" w:rsidP="006E062C">
      <w:r>
        <w:rPr>
          <w:b/>
          <w:bCs/>
        </w:rPr>
        <w:fldChar w:fldCharType="end"/>
      </w:r>
      <w:bookmarkStart w:id="74" w:name="_In-sequence_SDU_delivery"/>
      <w:bookmarkEnd w:id="74"/>
    </w:p>
    <w:p w14:paraId="71D79D99" w14:textId="289A541F" w:rsidR="00F507D1" w:rsidRPr="00CE0424" w:rsidRDefault="00F507D1" w:rsidP="00CE0424">
      <w:pPr>
        <w:pStyle w:val="Heading1"/>
      </w:pPr>
      <w:r w:rsidRPr="00CE0424">
        <w:lastRenderedPageBreak/>
        <w:t>References</w:t>
      </w:r>
    </w:p>
    <w:p w14:paraId="5610DCE9" w14:textId="77777777" w:rsidR="0063246D" w:rsidRPr="00CE0424" w:rsidRDefault="0063246D" w:rsidP="0063246D">
      <w:pPr>
        <w:pStyle w:val="Reference"/>
      </w:pPr>
      <w:bookmarkStart w:id="75" w:name="_Ref115167186"/>
      <w:bookmarkStart w:id="76" w:name="_Ref101252328"/>
      <w:bookmarkStart w:id="77" w:name="_Ref174151459"/>
      <w:bookmarkStart w:id="78" w:name="_Ref189809556"/>
      <w:r w:rsidRPr="005A179B">
        <w:t>RP-222806</w:t>
      </w:r>
      <w:r w:rsidRPr="00CE0424">
        <w:t xml:space="preserve">, </w:t>
      </w:r>
      <w:r>
        <w:t>WID revision: NR sidelink evolution,</w:t>
      </w:r>
      <w:r w:rsidRPr="00CE0424">
        <w:t xml:space="preserve"> </w:t>
      </w:r>
      <w:r>
        <w:t>OPPO</w:t>
      </w:r>
      <w:r w:rsidRPr="00CE0424">
        <w:t xml:space="preserve">, </w:t>
      </w:r>
      <w:r>
        <w:t>RAN#98-e</w:t>
      </w:r>
      <w:r w:rsidRPr="00CE0424">
        <w:t xml:space="preserve">, </w:t>
      </w:r>
      <w:r>
        <w:t>December 2022</w:t>
      </w:r>
      <w:bookmarkEnd w:id="75"/>
    </w:p>
    <w:p w14:paraId="6963E26F" w14:textId="337DA613" w:rsidR="00252440" w:rsidRDefault="00252440" w:rsidP="00311702">
      <w:pPr>
        <w:pStyle w:val="Reference"/>
      </w:pPr>
      <w:bookmarkStart w:id="79" w:name="_Ref102117202"/>
      <w:bookmarkEnd w:id="76"/>
      <w:r>
        <w:t xml:space="preserve">3GPP, “TS 38.214: </w:t>
      </w:r>
      <w:r w:rsidR="00292D10" w:rsidRPr="00292D10">
        <w:t>Physical layer procedures for data</w:t>
      </w:r>
      <w:r w:rsidR="00292D10">
        <w:t>”</w:t>
      </w:r>
      <w:bookmarkEnd w:id="79"/>
    </w:p>
    <w:p w14:paraId="44D21B24" w14:textId="54B727AC" w:rsidR="001B4907" w:rsidRPr="00D72F36" w:rsidRDefault="007B603C" w:rsidP="00311702">
      <w:pPr>
        <w:pStyle w:val="Reference"/>
      </w:pPr>
      <w:bookmarkStart w:id="80" w:name="_Ref101981861"/>
      <w:bookmarkStart w:id="81" w:name="_Ref115381250"/>
      <w:r w:rsidRPr="00D72F36">
        <w:t>R1-</w:t>
      </w:r>
      <w:r w:rsidR="005E7DAB" w:rsidRPr="00B13580">
        <w:t xml:space="preserve"> 2301131</w:t>
      </w:r>
      <w:r w:rsidR="001B4907" w:rsidRPr="00D72F36">
        <w:t>, PHY channel design framework for SL-U, Ericsson</w:t>
      </w:r>
      <w:r w:rsidR="005E7DAB" w:rsidRPr="00B13580">
        <w:t>, RAN1#112, Athens Greece, February 27th – March 3rd, 2023.</w:t>
      </w:r>
      <w:bookmarkEnd w:id="80"/>
      <w:bookmarkEnd w:id="81"/>
    </w:p>
    <w:p w14:paraId="33043AC8" w14:textId="55D32189" w:rsidR="005624EB" w:rsidRPr="005150A3" w:rsidRDefault="005624EB" w:rsidP="0001091F">
      <w:pPr>
        <w:pStyle w:val="Reference"/>
        <w:rPr>
          <w:lang w:val="sv-SE"/>
        </w:rPr>
      </w:pPr>
      <w:bookmarkStart w:id="82" w:name="_Ref115366469"/>
      <w:r w:rsidRPr="005150A3">
        <w:rPr>
          <w:lang w:val="sv-SE"/>
        </w:rPr>
        <w:t>Draft ETSI EN 303 687 V1.0.0 (2022-04), available at</w:t>
      </w:r>
      <w:r w:rsidR="00D91BCA" w:rsidRPr="005150A3">
        <w:rPr>
          <w:lang w:val="sv-SE"/>
        </w:rPr>
        <w:t>:</w:t>
      </w:r>
      <w:r w:rsidR="00D91BCA" w:rsidRPr="005150A3">
        <w:rPr>
          <w:lang w:val="sv-SE"/>
        </w:rPr>
        <w:br/>
      </w:r>
      <w:hyperlink r:id="rId35" w:history="1">
        <w:r w:rsidR="00D91BCA" w:rsidRPr="005150A3">
          <w:rPr>
            <w:rStyle w:val="Hyperlink"/>
            <w:lang w:val="sv-SE"/>
          </w:rPr>
          <w:t>https://www.etsi.org/deliver/etsi_en/303600_303699/303687/01.00.00_20/en_303687v010000a.pdf</w:t>
        </w:r>
      </w:hyperlink>
      <w:bookmarkEnd w:id="82"/>
    </w:p>
    <w:p w14:paraId="6A69EB05" w14:textId="6CE4A303" w:rsidR="00550FAF" w:rsidRPr="004976A5" w:rsidRDefault="00550FAF" w:rsidP="00EE5048">
      <w:pPr>
        <w:pStyle w:val="Reference"/>
        <w:rPr>
          <w:lang w:val="es-ES"/>
        </w:rPr>
      </w:pPr>
      <w:r w:rsidRPr="004976A5">
        <w:rPr>
          <w:lang w:val="es-ES"/>
        </w:rPr>
        <w:t>ETSI EN 301 893 V2.1.1 (2017-05), available at:</w:t>
      </w:r>
      <w:r w:rsidRPr="004976A5">
        <w:rPr>
          <w:lang w:val="es-ES"/>
        </w:rPr>
        <w:br/>
        <w:t>https://www.etsi.org/deliver/etsi_en/301800_301899/301893/02.01.01_60/en_301893v020101p.pdf</w:t>
      </w:r>
      <w:bookmarkStart w:id="83" w:name="_Ref115366479"/>
    </w:p>
    <w:bookmarkEnd w:id="77"/>
    <w:bookmarkEnd w:id="78"/>
    <w:bookmarkEnd w:id="83"/>
    <w:p w14:paraId="0051A76F" w14:textId="7611A8B4" w:rsidR="005B1EA4" w:rsidRDefault="005B1EA4" w:rsidP="005B1EA4">
      <w:pPr>
        <w:pStyle w:val="Heading1"/>
      </w:pPr>
      <w:r>
        <w:t>Appendix</w:t>
      </w:r>
      <w:r w:rsidR="007D4DC0">
        <w:t xml:space="preserve"> A</w:t>
      </w:r>
      <w:r>
        <w:t>: simulation assumptions</w:t>
      </w:r>
    </w:p>
    <w:p w14:paraId="6C37CFBB" w14:textId="1B262475" w:rsidR="00982951" w:rsidRPr="00000335" w:rsidRDefault="00982951" w:rsidP="00000335">
      <w:r>
        <w:rPr>
          <w:lang w:eastAsia="ja-JP"/>
        </w:rPr>
        <w:t>This appendix describes different sets of assumptions used to generate simulation results</w:t>
      </w:r>
      <w:r w:rsidR="00A946CB">
        <w:rPr>
          <w:lang w:eastAsia="ja-JP"/>
        </w:rPr>
        <w:t>.</w:t>
      </w:r>
    </w:p>
    <w:p w14:paraId="719A3B67" w14:textId="58FFE1C0" w:rsidR="00CC1A23" w:rsidRPr="00220143" w:rsidRDefault="009337CC" w:rsidP="00000335">
      <w:pPr>
        <w:pStyle w:val="Heading2"/>
      </w:pPr>
      <w:r>
        <w:t>A.1</w:t>
      </w:r>
    </w:p>
    <w:tbl>
      <w:tblPr>
        <w:tblStyle w:val="TableGrid"/>
        <w:tblW w:w="9342" w:type="dxa"/>
        <w:tblInd w:w="567" w:type="dxa"/>
        <w:tblLook w:val="04A0" w:firstRow="1" w:lastRow="0" w:firstColumn="1" w:lastColumn="0" w:noHBand="0" w:noVBand="1"/>
      </w:tblPr>
      <w:tblGrid>
        <w:gridCol w:w="1484"/>
        <w:gridCol w:w="2384"/>
        <w:gridCol w:w="5474"/>
      </w:tblGrid>
      <w:tr w:rsidR="00134E33" w:rsidRPr="008E311B" w14:paraId="05258B10" w14:textId="77777777" w:rsidTr="007B603C">
        <w:tc>
          <w:tcPr>
            <w:tcW w:w="3868" w:type="dxa"/>
            <w:gridSpan w:val="2"/>
          </w:tcPr>
          <w:p w14:paraId="519C4498" w14:textId="40DA16D1" w:rsidR="00134E33" w:rsidRPr="007B603C" w:rsidRDefault="00134E33" w:rsidP="007B603C">
            <w:pPr>
              <w:pStyle w:val="Reference"/>
              <w:numPr>
                <w:ilvl w:val="0"/>
                <w:numId w:val="0"/>
              </w:numPr>
              <w:jc w:val="center"/>
              <w:rPr>
                <w:rFonts w:cs="Arial"/>
                <w:b/>
                <w:bCs/>
                <w:sz w:val="20"/>
                <w:szCs w:val="18"/>
              </w:rPr>
            </w:pPr>
            <w:r w:rsidRPr="007B603C">
              <w:rPr>
                <w:rFonts w:cs="Arial"/>
                <w:b/>
                <w:bCs/>
                <w:sz w:val="20"/>
                <w:szCs w:val="18"/>
              </w:rPr>
              <w:t>Parameter</w:t>
            </w:r>
          </w:p>
        </w:tc>
        <w:tc>
          <w:tcPr>
            <w:tcW w:w="5474" w:type="dxa"/>
          </w:tcPr>
          <w:p w14:paraId="6C409874" w14:textId="2A81D384" w:rsidR="00134E33" w:rsidRPr="007B603C" w:rsidRDefault="00134E33" w:rsidP="007B603C">
            <w:pPr>
              <w:pStyle w:val="Reference"/>
              <w:numPr>
                <w:ilvl w:val="0"/>
                <w:numId w:val="0"/>
              </w:numPr>
              <w:jc w:val="center"/>
              <w:rPr>
                <w:rFonts w:cs="Arial"/>
                <w:b/>
                <w:bCs/>
                <w:sz w:val="20"/>
                <w:szCs w:val="18"/>
              </w:rPr>
            </w:pPr>
            <w:r w:rsidRPr="007B603C">
              <w:rPr>
                <w:rFonts w:cs="Arial"/>
                <w:b/>
                <w:bCs/>
                <w:sz w:val="20"/>
                <w:szCs w:val="18"/>
              </w:rPr>
              <w:t>Value</w:t>
            </w:r>
          </w:p>
        </w:tc>
      </w:tr>
      <w:tr w:rsidR="00546F2E" w:rsidRPr="008E311B" w14:paraId="1D6E7D06" w14:textId="77777777" w:rsidTr="007B603C">
        <w:tc>
          <w:tcPr>
            <w:tcW w:w="1484" w:type="dxa"/>
            <w:vMerge w:val="restart"/>
          </w:tcPr>
          <w:p w14:paraId="4E7A9A6A" w14:textId="48FEBDB4" w:rsidR="00546F2E" w:rsidRPr="007B603C" w:rsidRDefault="00546F2E" w:rsidP="005B1EA4">
            <w:pPr>
              <w:pStyle w:val="Reference"/>
              <w:ind w:left="0"/>
              <w:rPr>
                <w:rFonts w:cs="Arial"/>
                <w:sz w:val="20"/>
                <w:szCs w:val="18"/>
              </w:rPr>
            </w:pPr>
            <w:r w:rsidRPr="007B603C">
              <w:rPr>
                <w:rFonts w:cs="Arial"/>
                <w:sz w:val="20"/>
                <w:szCs w:val="18"/>
              </w:rPr>
              <w:t>Deployment</w:t>
            </w:r>
          </w:p>
        </w:tc>
        <w:tc>
          <w:tcPr>
            <w:tcW w:w="2384" w:type="dxa"/>
          </w:tcPr>
          <w:p w14:paraId="5082B038" w14:textId="0A7DD4CA" w:rsidR="00546F2E" w:rsidRPr="007B603C" w:rsidRDefault="00546F2E" w:rsidP="005B1EA4">
            <w:pPr>
              <w:pStyle w:val="Reference"/>
              <w:numPr>
                <w:ilvl w:val="0"/>
                <w:numId w:val="0"/>
              </w:numPr>
              <w:rPr>
                <w:rFonts w:cs="Arial"/>
                <w:sz w:val="20"/>
                <w:szCs w:val="18"/>
              </w:rPr>
            </w:pPr>
            <w:r w:rsidRPr="007B603C">
              <w:rPr>
                <w:rFonts w:cs="Arial"/>
                <w:sz w:val="20"/>
                <w:szCs w:val="18"/>
              </w:rPr>
              <w:t>Model</w:t>
            </w:r>
          </w:p>
        </w:tc>
        <w:tc>
          <w:tcPr>
            <w:tcW w:w="5474" w:type="dxa"/>
          </w:tcPr>
          <w:p w14:paraId="40AF3AC5" w14:textId="3D02376B" w:rsidR="00546F2E" w:rsidRPr="007B603C" w:rsidRDefault="00546F2E" w:rsidP="005B1EA4">
            <w:pPr>
              <w:pStyle w:val="Reference"/>
              <w:numPr>
                <w:ilvl w:val="0"/>
                <w:numId w:val="0"/>
              </w:numPr>
              <w:rPr>
                <w:rFonts w:cs="Arial"/>
                <w:sz w:val="20"/>
                <w:szCs w:val="18"/>
              </w:rPr>
            </w:pPr>
            <w:r w:rsidRPr="007B603C">
              <w:rPr>
                <w:rFonts w:cs="Arial"/>
                <w:sz w:val="20"/>
                <w:szCs w:val="18"/>
              </w:rPr>
              <w:t>NR InH mixed office model</w:t>
            </w:r>
          </w:p>
        </w:tc>
      </w:tr>
      <w:tr w:rsidR="00546F2E" w:rsidRPr="008E311B" w14:paraId="747C7FD8" w14:textId="77777777" w:rsidTr="007B603C">
        <w:tc>
          <w:tcPr>
            <w:tcW w:w="1484" w:type="dxa"/>
            <w:vMerge/>
          </w:tcPr>
          <w:p w14:paraId="0C548E1A" w14:textId="7F6A5D4E" w:rsidR="00546F2E" w:rsidRPr="007B603C" w:rsidRDefault="00546F2E" w:rsidP="005B1EA4">
            <w:pPr>
              <w:pStyle w:val="Reference"/>
              <w:numPr>
                <w:ilvl w:val="0"/>
                <w:numId w:val="0"/>
              </w:numPr>
              <w:rPr>
                <w:rFonts w:cs="Arial"/>
                <w:sz w:val="20"/>
                <w:szCs w:val="18"/>
              </w:rPr>
            </w:pPr>
          </w:p>
        </w:tc>
        <w:tc>
          <w:tcPr>
            <w:tcW w:w="2384" w:type="dxa"/>
          </w:tcPr>
          <w:p w14:paraId="205B3DD9" w14:textId="45CBE3CE" w:rsidR="00546F2E" w:rsidRPr="007B603C" w:rsidRDefault="00546F2E" w:rsidP="005B1EA4">
            <w:pPr>
              <w:pStyle w:val="Reference"/>
              <w:numPr>
                <w:ilvl w:val="0"/>
                <w:numId w:val="0"/>
              </w:numPr>
              <w:rPr>
                <w:rFonts w:cs="Arial"/>
                <w:sz w:val="20"/>
                <w:szCs w:val="18"/>
              </w:rPr>
            </w:pPr>
            <w:r w:rsidRPr="007B603C">
              <w:rPr>
                <w:rFonts w:cs="Arial"/>
                <w:sz w:val="20"/>
                <w:szCs w:val="18"/>
              </w:rPr>
              <w:t>Number of UEs</w:t>
            </w:r>
          </w:p>
        </w:tc>
        <w:tc>
          <w:tcPr>
            <w:tcW w:w="5474" w:type="dxa"/>
          </w:tcPr>
          <w:p w14:paraId="22DC3225" w14:textId="374AD772" w:rsidR="00546F2E" w:rsidRPr="007B603C" w:rsidRDefault="00546F2E" w:rsidP="005B1EA4">
            <w:pPr>
              <w:pStyle w:val="Reference"/>
              <w:numPr>
                <w:ilvl w:val="0"/>
                <w:numId w:val="0"/>
              </w:numPr>
              <w:rPr>
                <w:rFonts w:cs="Arial"/>
                <w:sz w:val="20"/>
                <w:szCs w:val="18"/>
              </w:rPr>
            </w:pPr>
            <w:r w:rsidRPr="007B603C">
              <w:rPr>
                <w:rFonts w:cs="Arial"/>
                <w:sz w:val="20"/>
                <w:szCs w:val="18"/>
              </w:rPr>
              <w:t>10 (5 pairs)</w:t>
            </w:r>
          </w:p>
        </w:tc>
      </w:tr>
      <w:tr w:rsidR="00546F2E" w:rsidRPr="008E311B" w14:paraId="3D7BBE3D" w14:textId="77777777" w:rsidTr="007B603C">
        <w:tc>
          <w:tcPr>
            <w:tcW w:w="1484" w:type="dxa"/>
            <w:vMerge/>
          </w:tcPr>
          <w:p w14:paraId="67416978" w14:textId="77777777" w:rsidR="00546F2E" w:rsidRPr="007B603C" w:rsidRDefault="00546F2E" w:rsidP="005B1EA4">
            <w:pPr>
              <w:pStyle w:val="Reference"/>
              <w:numPr>
                <w:ilvl w:val="0"/>
                <w:numId w:val="0"/>
              </w:numPr>
              <w:rPr>
                <w:rFonts w:cs="Arial"/>
                <w:sz w:val="20"/>
                <w:szCs w:val="18"/>
              </w:rPr>
            </w:pPr>
          </w:p>
        </w:tc>
        <w:tc>
          <w:tcPr>
            <w:tcW w:w="2384" w:type="dxa"/>
          </w:tcPr>
          <w:p w14:paraId="316D6C10" w14:textId="73A3B9D0" w:rsidR="00546F2E" w:rsidRPr="007B603C" w:rsidRDefault="00546F2E" w:rsidP="005B1EA4">
            <w:pPr>
              <w:pStyle w:val="Reference"/>
              <w:numPr>
                <w:ilvl w:val="0"/>
                <w:numId w:val="0"/>
              </w:numPr>
              <w:rPr>
                <w:rFonts w:cs="Arial"/>
                <w:sz w:val="20"/>
                <w:szCs w:val="18"/>
              </w:rPr>
            </w:pPr>
            <w:r w:rsidRPr="007B603C">
              <w:rPr>
                <w:rFonts w:cs="Arial"/>
                <w:sz w:val="20"/>
                <w:szCs w:val="18"/>
              </w:rPr>
              <w:t>Number of interferers</w:t>
            </w:r>
          </w:p>
        </w:tc>
        <w:tc>
          <w:tcPr>
            <w:tcW w:w="5474" w:type="dxa"/>
          </w:tcPr>
          <w:p w14:paraId="5377FEED" w14:textId="16147019" w:rsidR="00546F2E" w:rsidRPr="007B603C" w:rsidRDefault="00546F2E" w:rsidP="005B1EA4">
            <w:pPr>
              <w:pStyle w:val="Reference"/>
              <w:numPr>
                <w:ilvl w:val="0"/>
                <w:numId w:val="0"/>
              </w:numPr>
              <w:rPr>
                <w:rFonts w:cs="Arial"/>
                <w:sz w:val="20"/>
                <w:szCs w:val="18"/>
              </w:rPr>
            </w:pPr>
            <w:r w:rsidRPr="007B603C">
              <w:rPr>
                <w:rFonts w:cs="Arial"/>
                <w:sz w:val="20"/>
                <w:szCs w:val="18"/>
              </w:rPr>
              <w:t>10 (WiFi)</w:t>
            </w:r>
          </w:p>
        </w:tc>
      </w:tr>
      <w:tr w:rsidR="005C09CB" w:rsidRPr="008E311B" w14:paraId="4F3C80E6" w14:textId="77777777" w:rsidTr="003E52B6">
        <w:tc>
          <w:tcPr>
            <w:tcW w:w="1484" w:type="dxa"/>
            <w:vMerge w:val="restart"/>
          </w:tcPr>
          <w:p w14:paraId="1DC20028" w14:textId="6BAED064" w:rsidR="005C09CB" w:rsidRPr="007B603C" w:rsidRDefault="005C09CB" w:rsidP="005B1EA4">
            <w:pPr>
              <w:pStyle w:val="Reference"/>
              <w:numPr>
                <w:ilvl w:val="0"/>
                <w:numId w:val="0"/>
              </w:numPr>
              <w:rPr>
                <w:rFonts w:cs="Arial"/>
                <w:sz w:val="20"/>
                <w:szCs w:val="18"/>
              </w:rPr>
            </w:pPr>
            <w:r w:rsidRPr="007B603C">
              <w:rPr>
                <w:rFonts w:cs="Arial"/>
                <w:sz w:val="20"/>
                <w:szCs w:val="18"/>
              </w:rPr>
              <w:t>Traffic model</w:t>
            </w:r>
          </w:p>
        </w:tc>
        <w:tc>
          <w:tcPr>
            <w:tcW w:w="2384" w:type="dxa"/>
          </w:tcPr>
          <w:p w14:paraId="3901AAA3" w14:textId="1E9B8564" w:rsidR="005C09CB" w:rsidRPr="007B603C" w:rsidRDefault="005C09CB" w:rsidP="005B1EA4">
            <w:pPr>
              <w:pStyle w:val="Reference"/>
              <w:numPr>
                <w:ilvl w:val="0"/>
                <w:numId w:val="0"/>
              </w:numPr>
              <w:rPr>
                <w:rFonts w:cs="Arial"/>
                <w:sz w:val="20"/>
                <w:szCs w:val="18"/>
              </w:rPr>
            </w:pPr>
            <w:r w:rsidRPr="007B603C">
              <w:rPr>
                <w:rFonts w:cs="Arial"/>
                <w:sz w:val="20"/>
                <w:szCs w:val="18"/>
              </w:rPr>
              <w:t>UEs</w:t>
            </w:r>
          </w:p>
        </w:tc>
        <w:tc>
          <w:tcPr>
            <w:tcW w:w="5474" w:type="dxa"/>
          </w:tcPr>
          <w:p w14:paraId="368CB65B" w14:textId="40C2E7B7" w:rsidR="005C09CB" w:rsidRPr="007B603C" w:rsidRDefault="005C09CB" w:rsidP="005B1EA4">
            <w:pPr>
              <w:pStyle w:val="Reference"/>
              <w:numPr>
                <w:ilvl w:val="0"/>
                <w:numId w:val="0"/>
              </w:numPr>
              <w:rPr>
                <w:rFonts w:cs="Arial"/>
                <w:sz w:val="20"/>
                <w:szCs w:val="18"/>
              </w:rPr>
            </w:pPr>
            <w:r w:rsidRPr="007B603C">
              <w:rPr>
                <w:rFonts w:cs="Arial"/>
                <w:sz w:val="20"/>
                <w:szCs w:val="18"/>
              </w:rPr>
              <w:t>TR 37.885 Aperiodic 2 with packet size reduction factor 5</w:t>
            </w:r>
          </w:p>
        </w:tc>
      </w:tr>
      <w:tr w:rsidR="005C09CB" w:rsidRPr="008E311B" w14:paraId="36813BBC" w14:textId="77777777" w:rsidTr="003E52B6">
        <w:tc>
          <w:tcPr>
            <w:tcW w:w="1484" w:type="dxa"/>
            <w:vMerge/>
          </w:tcPr>
          <w:p w14:paraId="5F29C81A" w14:textId="77777777" w:rsidR="005C09CB" w:rsidRPr="007B603C" w:rsidRDefault="005C09CB" w:rsidP="005B1EA4">
            <w:pPr>
              <w:pStyle w:val="Reference"/>
              <w:numPr>
                <w:ilvl w:val="0"/>
                <w:numId w:val="0"/>
              </w:numPr>
              <w:rPr>
                <w:rFonts w:cs="Arial"/>
                <w:sz w:val="20"/>
                <w:szCs w:val="18"/>
              </w:rPr>
            </w:pPr>
          </w:p>
        </w:tc>
        <w:tc>
          <w:tcPr>
            <w:tcW w:w="2384" w:type="dxa"/>
          </w:tcPr>
          <w:p w14:paraId="5E9AB465" w14:textId="42A28C7F" w:rsidR="005C09CB" w:rsidRPr="007B603C" w:rsidRDefault="005C09CB" w:rsidP="005B1EA4">
            <w:pPr>
              <w:pStyle w:val="Reference"/>
              <w:numPr>
                <w:ilvl w:val="0"/>
                <w:numId w:val="0"/>
              </w:numPr>
              <w:rPr>
                <w:rFonts w:cs="Arial"/>
                <w:sz w:val="20"/>
                <w:szCs w:val="18"/>
              </w:rPr>
            </w:pPr>
            <w:r w:rsidRPr="007B603C">
              <w:rPr>
                <w:rFonts w:cs="Arial"/>
                <w:sz w:val="20"/>
                <w:szCs w:val="18"/>
              </w:rPr>
              <w:t>Interferers</w:t>
            </w:r>
          </w:p>
        </w:tc>
        <w:tc>
          <w:tcPr>
            <w:tcW w:w="5474" w:type="dxa"/>
          </w:tcPr>
          <w:p w14:paraId="60EE7166" w14:textId="1A1A79FF" w:rsidR="005C09CB" w:rsidRPr="007B603C" w:rsidRDefault="005C09CB" w:rsidP="005B1EA4">
            <w:pPr>
              <w:pStyle w:val="Reference"/>
              <w:numPr>
                <w:ilvl w:val="0"/>
                <w:numId w:val="0"/>
              </w:numPr>
              <w:rPr>
                <w:rFonts w:cs="Arial"/>
                <w:sz w:val="20"/>
                <w:szCs w:val="18"/>
              </w:rPr>
            </w:pPr>
            <w:r w:rsidRPr="007B603C">
              <w:rPr>
                <w:rFonts w:cs="Arial"/>
                <w:sz w:val="20"/>
                <w:szCs w:val="18"/>
              </w:rPr>
              <w:t>TR 37.885 Aperiodic 2 with packet size reduction factor 5</w:t>
            </w:r>
          </w:p>
        </w:tc>
      </w:tr>
      <w:tr w:rsidR="005C09CB" w:rsidRPr="008E311B" w14:paraId="7FD94EF0" w14:textId="77777777" w:rsidTr="00726759">
        <w:tc>
          <w:tcPr>
            <w:tcW w:w="1484" w:type="dxa"/>
            <w:vMerge/>
          </w:tcPr>
          <w:p w14:paraId="3344700F" w14:textId="77777777" w:rsidR="005C09CB" w:rsidRPr="007B603C" w:rsidRDefault="005C09CB" w:rsidP="005B1EA4">
            <w:pPr>
              <w:pStyle w:val="Reference"/>
              <w:numPr>
                <w:ilvl w:val="0"/>
                <w:numId w:val="0"/>
              </w:numPr>
              <w:rPr>
                <w:rFonts w:cs="Arial"/>
                <w:sz w:val="20"/>
                <w:szCs w:val="18"/>
              </w:rPr>
            </w:pPr>
          </w:p>
        </w:tc>
        <w:tc>
          <w:tcPr>
            <w:tcW w:w="2384" w:type="dxa"/>
          </w:tcPr>
          <w:p w14:paraId="638BC324" w14:textId="4EA596F3" w:rsidR="005C09CB" w:rsidRPr="007B603C" w:rsidRDefault="005C09CB" w:rsidP="005B1EA4">
            <w:pPr>
              <w:pStyle w:val="Reference"/>
              <w:numPr>
                <w:ilvl w:val="0"/>
                <w:numId w:val="0"/>
              </w:numPr>
              <w:rPr>
                <w:rFonts w:cs="Arial"/>
                <w:sz w:val="20"/>
                <w:szCs w:val="18"/>
              </w:rPr>
            </w:pPr>
            <w:r w:rsidRPr="007B603C">
              <w:rPr>
                <w:rFonts w:cs="Arial"/>
                <w:sz w:val="20"/>
                <w:szCs w:val="18"/>
              </w:rPr>
              <w:t>Cast mode</w:t>
            </w:r>
          </w:p>
        </w:tc>
        <w:tc>
          <w:tcPr>
            <w:tcW w:w="5474" w:type="dxa"/>
          </w:tcPr>
          <w:p w14:paraId="02BC6A2F" w14:textId="77777777" w:rsidR="005C09CB" w:rsidRDefault="005C09CB" w:rsidP="005B1EA4">
            <w:pPr>
              <w:pStyle w:val="Reference"/>
              <w:numPr>
                <w:ilvl w:val="0"/>
                <w:numId w:val="0"/>
              </w:numPr>
              <w:rPr>
                <w:rFonts w:cs="Arial"/>
                <w:sz w:val="20"/>
                <w:szCs w:val="18"/>
              </w:rPr>
            </w:pPr>
            <w:r w:rsidRPr="007B603C">
              <w:rPr>
                <w:rFonts w:cs="Arial"/>
                <w:sz w:val="20"/>
                <w:szCs w:val="18"/>
              </w:rPr>
              <w:t>Unicast</w:t>
            </w:r>
          </w:p>
          <w:p w14:paraId="03CA382A" w14:textId="0ED7F74E" w:rsidR="00F52278" w:rsidRPr="00F52278" w:rsidRDefault="00F52278" w:rsidP="005B1EA4">
            <w:pPr>
              <w:pStyle w:val="Reference"/>
              <w:numPr>
                <w:ilvl w:val="0"/>
                <w:numId w:val="0"/>
              </w:numPr>
              <w:rPr>
                <w:rFonts w:cs="Arial"/>
                <w:sz w:val="20"/>
                <w:szCs w:val="18"/>
              </w:rPr>
            </w:pPr>
            <w:r>
              <w:rPr>
                <w:rFonts w:cs="Arial"/>
                <w:sz w:val="20"/>
                <w:szCs w:val="18"/>
              </w:rPr>
              <w:t xml:space="preserve">Pairing: </w:t>
            </w:r>
            <w:r w:rsidR="00347F52">
              <w:rPr>
                <w:rFonts w:cs="Arial"/>
                <w:sz w:val="20"/>
                <w:szCs w:val="18"/>
              </w:rPr>
              <w:t xml:space="preserve">TX-RX </w:t>
            </w:r>
            <w:r w:rsidR="00152987">
              <w:rPr>
                <w:rFonts w:cs="Arial"/>
                <w:sz w:val="20"/>
                <w:szCs w:val="18"/>
              </w:rPr>
              <w:t>separated by 25 m, at a random ang</w:t>
            </w:r>
            <w:r w:rsidR="00571C36">
              <w:rPr>
                <w:rFonts w:cs="Arial"/>
                <w:sz w:val="20"/>
                <w:szCs w:val="18"/>
              </w:rPr>
              <w:t>l</w:t>
            </w:r>
            <w:r w:rsidR="00152987">
              <w:rPr>
                <w:rFonts w:cs="Arial"/>
                <w:sz w:val="20"/>
                <w:szCs w:val="18"/>
              </w:rPr>
              <w:t>e</w:t>
            </w:r>
          </w:p>
        </w:tc>
      </w:tr>
      <w:tr w:rsidR="0038032A" w:rsidRPr="008E311B" w14:paraId="4A225E03" w14:textId="77777777" w:rsidTr="007B603C">
        <w:tc>
          <w:tcPr>
            <w:tcW w:w="1484" w:type="dxa"/>
            <w:vMerge w:val="restart"/>
          </w:tcPr>
          <w:p w14:paraId="187677F5" w14:textId="69F68B24" w:rsidR="0038032A" w:rsidRPr="007B603C" w:rsidRDefault="0038032A" w:rsidP="005B1EA4">
            <w:pPr>
              <w:pStyle w:val="Reference"/>
              <w:numPr>
                <w:ilvl w:val="0"/>
                <w:numId w:val="0"/>
              </w:numPr>
              <w:rPr>
                <w:rFonts w:cs="Arial"/>
                <w:sz w:val="20"/>
                <w:szCs w:val="18"/>
              </w:rPr>
            </w:pPr>
            <w:r w:rsidRPr="007B603C">
              <w:rPr>
                <w:rFonts w:cs="Arial"/>
                <w:sz w:val="20"/>
                <w:szCs w:val="18"/>
              </w:rPr>
              <w:t>Channel</w:t>
            </w:r>
          </w:p>
        </w:tc>
        <w:tc>
          <w:tcPr>
            <w:tcW w:w="2384" w:type="dxa"/>
          </w:tcPr>
          <w:p w14:paraId="5B312A11" w14:textId="02A9B246" w:rsidR="0038032A" w:rsidRPr="007B603C" w:rsidRDefault="0038032A" w:rsidP="005B1EA4">
            <w:pPr>
              <w:pStyle w:val="Reference"/>
              <w:numPr>
                <w:ilvl w:val="0"/>
                <w:numId w:val="0"/>
              </w:numPr>
              <w:rPr>
                <w:rFonts w:cs="Arial"/>
                <w:sz w:val="20"/>
                <w:szCs w:val="18"/>
              </w:rPr>
            </w:pPr>
            <w:r w:rsidRPr="007B603C">
              <w:rPr>
                <w:rFonts w:cs="Arial"/>
                <w:sz w:val="20"/>
                <w:szCs w:val="18"/>
              </w:rPr>
              <w:t>Frequency</w:t>
            </w:r>
          </w:p>
        </w:tc>
        <w:tc>
          <w:tcPr>
            <w:tcW w:w="5474" w:type="dxa"/>
          </w:tcPr>
          <w:p w14:paraId="13E4C33B" w14:textId="45AFFF8E" w:rsidR="0038032A" w:rsidRPr="007B603C" w:rsidRDefault="00FA41AA" w:rsidP="005B1EA4">
            <w:pPr>
              <w:pStyle w:val="Reference"/>
              <w:numPr>
                <w:ilvl w:val="0"/>
                <w:numId w:val="0"/>
              </w:numPr>
              <w:rPr>
                <w:rFonts w:cs="Arial"/>
                <w:sz w:val="20"/>
                <w:szCs w:val="18"/>
              </w:rPr>
            </w:pPr>
            <w:r w:rsidRPr="007B603C">
              <w:rPr>
                <w:rFonts w:cs="Arial"/>
                <w:sz w:val="20"/>
                <w:szCs w:val="18"/>
              </w:rPr>
              <w:t>5</w:t>
            </w:r>
            <w:r w:rsidR="005C09CB" w:rsidRPr="007B603C">
              <w:rPr>
                <w:rFonts w:cs="Arial"/>
                <w:sz w:val="20"/>
                <w:szCs w:val="18"/>
              </w:rPr>
              <w:t xml:space="preserve"> GHz</w:t>
            </w:r>
          </w:p>
        </w:tc>
      </w:tr>
      <w:tr w:rsidR="0038032A" w:rsidRPr="008E311B" w14:paraId="4AB7383E" w14:textId="77777777" w:rsidTr="007B603C">
        <w:tc>
          <w:tcPr>
            <w:tcW w:w="1484" w:type="dxa"/>
            <w:vMerge/>
          </w:tcPr>
          <w:p w14:paraId="3D2BEAFD" w14:textId="77777777" w:rsidR="0038032A" w:rsidRPr="007B603C" w:rsidRDefault="0038032A" w:rsidP="005B1EA4">
            <w:pPr>
              <w:pStyle w:val="Reference"/>
              <w:numPr>
                <w:ilvl w:val="0"/>
                <w:numId w:val="0"/>
              </w:numPr>
              <w:rPr>
                <w:rFonts w:cs="Arial"/>
                <w:sz w:val="20"/>
                <w:szCs w:val="18"/>
              </w:rPr>
            </w:pPr>
          </w:p>
        </w:tc>
        <w:tc>
          <w:tcPr>
            <w:tcW w:w="2384" w:type="dxa"/>
          </w:tcPr>
          <w:p w14:paraId="58E2B590" w14:textId="5C4F43A8" w:rsidR="0038032A" w:rsidRPr="007B603C" w:rsidRDefault="0038032A" w:rsidP="005B1EA4">
            <w:pPr>
              <w:pStyle w:val="Reference"/>
              <w:numPr>
                <w:ilvl w:val="0"/>
                <w:numId w:val="0"/>
              </w:numPr>
              <w:rPr>
                <w:rFonts w:cs="Arial"/>
                <w:sz w:val="20"/>
                <w:szCs w:val="18"/>
              </w:rPr>
            </w:pPr>
            <w:r w:rsidRPr="007B603C">
              <w:rPr>
                <w:rFonts w:cs="Arial"/>
                <w:sz w:val="20"/>
                <w:szCs w:val="18"/>
              </w:rPr>
              <w:t>Bandwidth</w:t>
            </w:r>
          </w:p>
        </w:tc>
        <w:tc>
          <w:tcPr>
            <w:tcW w:w="5474" w:type="dxa"/>
          </w:tcPr>
          <w:p w14:paraId="0C5C445C" w14:textId="4C7943D2" w:rsidR="0038032A" w:rsidRPr="007B603C" w:rsidRDefault="0038032A" w:rsidP="005B1EA4">
            <w:pPr>
              <w:pStyle w:val="Reference"/>
              <w:numPr>
                <w:ilvl w:val="0"/>
                <w:numId w:val="0"/>
              </w:numPr>
              <w:rPr>
                <w:rFonts w:cs="Arial"/>
                <w:sz w:val="20"/>
                <w:szCs w:val="18"/>
                <w:lang w:val="es-ES"/>
              </w:rPr>
            </w:pPr>
            <w:r w:rsidRPr="007B603C">
              <w:rPr>
                <w:rFonts w:cs="Arial"/>
                <w:sz w:val="20"/>
                <w:szCs w:val="18"/>
                <w:lang w:val="es-ES"/>
              </w:rPr>
              <w:t xml:space="preserve">1 carrier, </w:t>
            </w:r>
            <w:r w:rsidRPr="007B603C">
              <w:rPr>
                <w:rFonts w:cs="Arial"/>
                <w:sz w:val="20"/>
                <w:szCs w:val="18"/>
              </w:rPr>
              <w:t>20 MHz</w:t>
            </w:r>
          </w:p>
        </w:tc>
      </w:tr>
      <w:tr w:rsidR="0038032A" w:rsidRPr="008E311B" w14:paraId="2BA26566" w14:textId="77777777" w:rsidTr="007B603C">
        <w:tc>
          <w:tcPr>
            <w:tcW w:w="1484" w:type="dxa"/>
            <w:vMerge/>
          </w:tcPr>
          <w:p w14:paraId="487D4BFC" w14:textId="77777777" w:rsidR="0038032A" w:rsidRPr="007B603C" w:rsidRDefault="0038032A" w:rsidP="005B1EA4">
            <w:pPr>
              <w:pStyle w:val="Reference"/>
              <w:numPr>
                <w:ilvl w:val="0"/>
                <w:numId w:val="0"/>
              </w:numPr>
              <w:rPr>
                <w:rFonts w:cs="Arial"/>
                <w:sz w:val="20"/>
                <w:szCs w:val="18"/>
              </w:rPr>
            </w:pPr>
          </w:p>
        </w:tc>
        <w:tc>
          <w:tcPr>
            <w:tcW w:w="2384" w:type="dxa"/>
          </w:tcPr>
          <w:p w14:paraId="09D8EFB9" w14:textId="3C8A4A84" w:rsidR="0038032A" w:rsidRPr="007B603C" w:rsidRDefault="0038032A" w:rsidP="005B1EA4">
            <w:pPr>
              <w:pStyle w:val="Reference"/>
              <w:numPr>
                <w:ilvl w:val="0"/>
                <w:numId w:val="0"/>
              </w:numPr>
              <w:rPr>
                <w:rFonts w:cs="Arial"/>
                <w:sz w:val="20"/>
                <w:szCs w:val="18"/>
                <w:lang w:val="es-ES"/>
              </w:rPr>
            </w:pPr>
            <w:r w:rsidRPr="007B603C">
              <w:rPr>
                <w:rFonts w:cs="Arial"/>
                <w:sz w:val="20"/>
                <w:szCs w:val="18"/>
                <w:lang w:val="es-ES"/>
              </w:rPr>
              <w:t xml:space="preserve">Model </w:t>
            </w:r>
          </w:p>
        </w:tc>
        <w:tc>
          <w:tcPr>
            <w:tcW w:w="5474" w:type="dxa"/>
          </w:tcPr>
          <w:p w14:paraId="62713245" w14:textId="205978DB" w:rsidR="0038032A" w:rsidRPr="007B603C" w:rsidRDefault="0038032A" w:rsidP="005B1EA4">
            <w:pPr>
              <w:pStyle w:val="Reference"/>
              <w:numPr>
                <w:ilvl w:val="0"/>
                <w:numId w:val="0"/>
              </w:numPr>
              <w:rPr>
                <w:rFonts w:cs="Arial"/>
                <w:sz w:val="20"/>
                <w:szCs w:val="18"/>
              </w:rPr>
            </w:pPr>
            <w:r w:rsidRPr="007B603C">
              <w:rPr>
                <w:rFonts w:cs="Arial"/>
                <w:sz w:val="20"/>
                <w:szCs w:val="18"/>
              </w:rPr>
              <w:t>InH office pathloss model with proper d_3D with indoor mixed office LOS probability</w:t>
            </w:r>
          </w:p>
        </w:tc>
      </w:tr>
      <w:tr w:rsidR="0038032A" w:rsidRPr="008E311B" w14:paraId="6CC8A1D9" w14:textId="77777777" w:rsidTr="007B603C">
        <w:tc>
          <w:tcPr>
            <w:tcW w:w="1484" w:type="dxa"/>
            <w:vMerge w:val="restart"/>
          </w:tcPr>
          <w:p w14:paraId="315154F1" w14:textId="2C656DD9" w:rsidR="0038032A" w:rsidRPr="007B603C" w:rsidRDefault="0038032A" w:rsidP="00E139A9">
            <w:pPr>
              <w:pStyle w:val="Reference"/>
              <w:numPr>
                <w:ilvl w:val="0"/>
                <w:numId w:val="0"/>
              </w:numPr>
              <w:rPr>
                <w:rFonts w:cs="Arial"/>
                <w:sz w:val="20"/>
                <w:szCs w:val="18"/>
                <w:lang w:val="es-ES"/>
              </w:rPr>
            </w:pPr>
            <w:r w:rsidRPr="007B603C">
              <w:rPr>
                <w:rFonts w:cs="Arial"/>
                <w:sz w:val="20"/>
                <w:szCs w:val="18"/>
                <w:lang w:val="es-ES"/>
              </w:rPr>
              <w:t>BWP / pool config</w:t>
            </w:r>
          </w:p>
        </w:tc>
        <w:tc>
          <w:tcPr>
            <w:tcW w:w="2384" w:type="dxa"/>
          </w:tcPr>
          <w:p w14:paraId="18346E0E" w14:textId="208BB322" w:rsidR="0038032A" w:rsidRPr="007B603C" w:rsidRDefault="0038032A" w:rsidP="00E139A9">
            <w:pPr>
              <w:pStyle w:val="Reference"/>
              <w:numPr>
                <w:ilvl w:val="0"/>
                <w:numId w:val="0"/>
              </w:numPr>
              <w:rPr>
                <w:rFonts w:cs="Arial"/>
                <w:sz w:val="20"/>
                <w:szCs w:val="18"/>
                <w:lang w:val="es-ES"/>
              </w:rPr>
            </w:pPr>
            <w:r w:rsidRPr="007B603C">
              <w:rPr>
                <w:rFonts w:cs="Arial"/>
                <w:sz w:val="20"/>
                <w:szCs w:val="18"/>
                <w:lang w:val="es-ES"/>
              </w:rPr>
              <w:t>SCS</w:t>
            </w:r>
          </w:p>
        </w:tc>
        <w:tc>
          <w:tcPr>
            <w:tcW w:w="5474" w:type="dxa"/>
          </w:tcPr>
          <w:p w14:paraId="2E6ED405" w14:textId="6F17096A" w:rsidR="0038032A" w:rsidRPr="007B603C" w:rsidRDefault="0038032A" w:rsidP="00E139A9">
            <w:pPr>
              <w:pStyle w:val="Reference"/>
              <w:numPr>
                <w:ilvl w:val="0"/>
                <w:numId w:val="0"/>
              </w:numPr>
              <w:rPr>
                <w:rFonts w:cs="Arial"/>
                <w:sz w:val="20"/>
                <w:szCs w:val="18"/>
              </w:rPr>
            </w:pPr>
            <w:r w:rsidRPr="007B603C">
              <w:rPr>
                <w:rFonts w:cs="Arial"/>
                <w:sz w:val="20"/>
                <w:szCs w:val="18"/>
              </w:rPr>
              <w:t>30 kHz / 51 RBs</w:t>
            </w:r>
          </w:p>
        </w:tc>
      </w:tr>
      <w:tr w:rsidR="0038032A" w:rsidRPr="008E311B" w14:paraId="185B9AAA" w14:textId="77777777" w:rsidTr="007B603C">
        <w:tc>
          <w:tcPr>
            <w:tcW w:w="1484" w:type="dxa"/>
            <w:vMerge/>
          </w:tcPr>
          <w:p w14:paraId="1BD90371" w14:textId="77777777" w:rsidR="0038032A" w:rsidRPr="007B603C" w:rsidRDefault="0038032A" w:rsidP="005B1EA4">
            <w:pPr>
              <w:pStyle w:val="Reference"/>
              <w:numPr>
                <w:ilvl w:val="0"/>
                <w:numId w:val="0"/>
              </w:numPr>
              <w:rPr>
                <w:rFonts w:cs="Arial"/>
                <w:sz w:val="20"/>
                <w:szCs w:val="18"/>
              </w:rPr>
            </w:pPr>
          </w:p>
        </w:tc>
        <w:tc>
          <w:tcPr>
            <w:tcW w:w="2384" w:type="dxa"/>
          </w:tcPr>
          <w:p w14:paraId="6F65CCDB" w14:textId="2EBA1FAC" w:rsidR="0038032A" w:rsidRPr="007B603C" w:rsidRDefault="00726759" w:rsidP="005B1EA4">
            <w:pPr>
              <w:pStyle w:val="Reference"/>
              <w:numPr>
                <w:ilvl w:val="0"/>
                <w:numId w:val="0"/>
              </w:numPr>
              <w:rPr>
                <w:rFonts w:cs="Arial"/>
                <w:sz w:val="20"/>
                <w:szCs w:val="18"/>
                <w:lang w:val="es-ES"/>
              </w:rPr>
            </w:pPr>
            <w:r w:rsidRPr="007B603C">
              <w:rPr>
                <w:rFonts w:cs="Arial"/>
                <w:sz w:val="20"/>
                <w:szCs w:val="18"/>
              </w:rPr>
              <w:t>#S</w:t>
            </w:r>
            <w:r w:rsidR="0038032A" w:rsidRPr="007B603C">
              <w:rPr>
                <w:rFonts w:cs="Arial"/>
                <w:sz w:val="20"/>
                <w:szCs w:val="18"/>
                <w:lang w:val="es-ES"/>
              </w:rPr>
              <w:t>ubchannels</w:t>
            </w:r>
          </w:p>
        </w:tc>
        <w:tc>
          <w:tcPr>
            <w:tcW w:w="5474" w:type="dxa"/>
          </w:tcPr>
          <w:p w14:paraId="2F70E05A" w14:textId="5755CC2A" w:rsidR="0038032A" w:rsidRPr="007B603C" w:rsidRDefault="0038032A" w:rsidP="005B1EA4">
            <w:pPr>
              <w:pStyle w:val="Reference"/>
              <w:numPr>
                <w:ilvl w:val="0"/>
                <w:numId w:val="0"/>
              </w:numPr>
              <w:rPr>
                <w:rFonts w:cs="Arial"/>
                <w:sz w:val="20"/>
                <w:szCs w:val="18"/>
              </w:rPr>
            </w:pPr>
            <w:r w:rsidRPr="007B603C">
              <w:rPr>
                <w:rFonts w:cs="Arial"/>
                <w:sz w:val="20"/>
                <w:szCs w:val="18"/>
              </w:rPr>
              <w:t>4 (12 RBs)</w:t>
            </w:r>
          </w:p>
        </w:tc>
      </w:tr>
      <w:tr w:rsidR="0038032A" w:rsidRPr="008E311B" w14:paraId="358C7E48" w14:textId="77777777" w:rsidTr="007B603C">
        <w:tc>
          <w:tcPr>
            <w:tcW w:w="1484" w:type="dxa"/>
            <w:vMerge/>
          </w:tcPr>
          <w:p w14:paraId="0D49278E" w14:textId="77777777" w:rsidR="0038032A" w:rsidRPr="007B603C" w:rsidRDefault="0038032A" w:rsidP="005B1EA4">
            <w:pPr>
              <w:pStyle w:val="Reference"/>
              <w:numPr>
                <w:ilvl w:val="0"/>
                <w:numId w:val="0"/>
              </w:numPr>
              <w:rPr>
                <w:rFonts w:cs="Arial"/>
                <w:sz w:val="20"/>
                <w:szCs w:val="18"/>
              </w:rPr>
            </w:pPr>
          </w:p>
        </w:tc>
        <w:tc>
          <w:tcPr>
            <w:tcW w:w="2384" w:type="dxa"/>
          </w:tcPr>
          <w:p w14:paraId="4A7F241D" w14:textId="5F9174B3" w:rsidR="0038032A" w:rsidRPr="007B603C" w:rsidRDefault="0038032A" w:rsidP="005B1EA4">
            <w:pPr>
              <w:pStyle w:val="Reference"/>
              <w:numPr>
                <w:ilvl w:val="0"/>
                <w:numId w:val="0"/>
              </w:numPr>
              <w:rPr>
                <w:rFonts w:cs="Arial"/>
                <w:sz w:val="20"/>
                <w:szCs w:val="18"/>
                <w:lang w:val="es-ES"/>
              </w:rPr>
            </w:pPr>
            <w:r w:rsidRPr="007B603C">
              <w:rPr>
                <w:rFonts w:cs="Arial"/>
                <w:sz w:val="20"/>
                <w:szCs w:val="18"/>
                <w:lang w:val="es-ES"/>
              </w:rPr>
              <w:t>PSFCH periodicity</w:t>
            </w:r>
          </w:p>
        </w:tc>
        <w:tc>
          <w:tcPr>
            <w:tcW w:w="5474" w:type="dxa"/>
          </w:tcPr>
          <w:p w14:paraId="0A9948DA" w14:textId="7997E91E" w:rsidR="0038032A" w:rsidRPr="007B603C" w:rsidRDefault="0038032A" w:rsidP="005B1EA4">
            <w:pPr>
              <w:pStyle w:val="Reference"/>
              <w:numPr>
                <w:ilvl w:val="0"/>
                <w:numId w:val="0"/>
              </w:numPr>
              <w:rPr>
                <w:rFonts w:cs="Arial"/>
                <w:sz w:val="20"/>
                <w:szCs w:val="18"/>
              </w:rPr>
            </w:pPr>
            <w:r w:rsidRPr="007B603C">
              <w:rPr>
                <w:rFonts w:cs="Arial"/>
                <w:sz w:val="20"/>
                <w:szCs w:val="18"/>
              </w:rPr>
              <w:t>1 slot</w:t>
            </w:r>
          </w:p>
        </w:tc>
      </w:tr>
      <w:tr w:rsidR="0038032A" w:rsidRPr="008E311B" w14:paraId="10A0E978" w14:textId="77777777" w:rsidTr="007B603C">
        <w:tc>
          <w:tcPr>
            <w:tcW w:w="1484" w:type="dxa"/>
            <w:vMerge w:val="restart"/>
          </w:tcPr>
          <w:p w14:paraId="11A656A8" w14:textId="6E4794D6" w:rsidR="0038032A" w:rsidRPr="007B603C" w:rsidRDefault="0038032A" w:rsidP="008E311B">
            <w:pPr>
              <w:pStyle w:val="Reference"/>
              <w:numPr>
                <w:ilvl w:val="0"/>
                <w:numId w:val="0"/>
              </w:numPr>
              <w:rPr>
                <w:rFonts w:cs="Arial"/>
                <w:sz w:val="20"/>
                <w:szCs w:val="18"/>
                <w:lang w:val="es-ES"/>
              </w:rPr>
            </w:pPr>
            <w:r w:rsidRPr="007B603C">
              <w:rPr>
                <w:rFonts w:cs="Arial"/>
                <w:sz w:val="20"/>
                <w:szCs w:val="18"/>
                <w:lang w:val="es-ES"/>
              </w:rPr>
              <w:t>TX parameters</w:t>
            </w:r>
          </w:p>
        </w:tc>
        <w:tc>
          <w:tcPr>
            <w:tcW w:w="2384" w:type="dxa"/>
          </w:tcPr>
          <w:p w14:paraId="35572660" w14:textId="6BECCF95" w:rsidR="0038032A" w:rsidRPr="007B603C" w:rsidRDefault="00726759" w:rsidP="008E311B">
            <w:pPr>
              <w:pStyle w:val="Reference"/>
              <w:numPr>
                <w:ilvl w:val="0"/>
                <w:numId w:val="0"/>
              </w:numPr>
              <w:rPr>
                <w:rFonts w:cs="Arial"/>
                <w:sz w:val="20"/>
                <w:szCs w:val="18"/>
                <w:lang w:val="sv-SE"/>
              </w:rPr>
            </w:pPr>
            <w:r w:rsidRPr="007B603C">
              <w:rPr>
                <w:rFonts w:cs="Arial"/>
                <w:sz w:val="20"/>
                <w:szCs w:val="18"/>
              </w:rPr>
              <w:t>#T</w:t>
            </w:r>
            <w:r w:rsidR="0038032A" w:rsidRPr="007B603C">
              <w:rPr>
                <w:rFonts w:cs="Arial"/>
                <w:sz w:val="20"/>
                <w:szCs w:val="18"/>
                <w:lang w:val="sv-SE"/>
              </w:rPr>
              <w:t>ransmissions per TB</w:t>
            </w:r>
          </w:p>
        </w:tc>
        <w:tc>
          <w:tcPr>
            <w:tcW w:w="5474" w:type="dxa"/>
          </w:tcPr>
          <w:p w14:paraId="6B680551" w14:textId="6CB12F93" w:rsidR="0038032A" w:rsidRPr="007B603C" w:rsidRDefault="0038032A" w:rsidP="008E311B">
            <w:pPr>
              <w:pStyle w:val="Reference"/>
              <w:numPr>
                <w:ilvl w:val="0"/>
                <w:numId w:val="0"/>
              </w:numPr>
              <w:rPr>
                <w:rFonts w:cs="Arial"/>
                <w:sz w:val="20"/>
                <w:szCs w:val="18"/>
              </w:rPr>
            </w:pPr>
            <w:r w:rsidRPr="007B603C">
              <w:rPr>
                <w:rFonts w:cs="Arial"/>
                <w:sz w:val="20"/>
                <w:szCs w:val="18"/>
              </w:rPr>
              <w:t>Up to 4, based on SL HARQ FB</w:t>
            </w:r>
          </w:p>
        </w:tc>
      </w:tr>
      <w:tr w:rsidR="0038032A" w:rsidRPr="008E311B" w14:paraId="100F4563" w14:textId="77777777" w:rsidTr="007B603C">
        <w:tc>
          <w:tcPr>
            <w:tcW w:w="1484" w:type="dxa"/>
            <w:vMerge/>
          </w:tcPr>
          <w:p w14:paraId="5A863C57" w14:textId="77777777" w:rsidR="0038032A" w:rsidRPr="005150A3" w:rsidRDefault="0038032A" w:rsidP="008E311B">
            <w:pPr>
              <w:pStyle w:val="Reference"/>
              <w:numPr>
                <w:ilvl w:val="0"/>
                <w:numId w:val="0"/>
              </w:numPr>
              <w:rPr>
                <w:rFonts w:cs="Arial"/>
                <w:sz w:val="20"/>
                <w:szCs w:val="18"/>
              </w:rPr>
            </w:pPr>
          </w:p>
        </w:tc>
        <w:tc>
          <w:tcPr>
            <w:tcW w:w="2384" w:type="dxa"/>
          </w:tcPr>
          <w:p w14:paraId="6AC5BA75" w14:textId="3CF648C1" w:rsidR="0038032A" w:rsidRPr="007B603C" w:rsidRDefault="0038032A" w:rsidP="008E311B">
            <w:pPr>
              <w:pStyle w:val="Reference"/>
              <w:numPr>
                <w:ilvl w:val="0"/>
                <w:numId w:val="0"/>
              </w:numPr>
              <w:rPr>
                <w:rFonts w:cs="Arial"/>
                <w:sz w:val="20"/>
                <w:szCs w:val="18"/>
                <w:lang w:val="sv-SE"/>
              </w:rPr>
            </w:pPr>
            <w:r w:rsidRPr="007B603C">
              <w:rPr>
                <w:rFonts w:cs="Arial"/>
                <w:sz w:val="20"/>
                <w:szCs w:val="18"/>
                <w:lang w:val="sv-SE"/>
              </w:rPr>
              <w:t>DMRS</w:t>
            </w:r>
          </w:p>
        </w:tc>
        <w:tc>
          <w:tcPr>
            <w:tcW w:w="5474" w:type="dxa"/>
          </w:tcPr>
          <w:p w14:paraId="3E8F0713" w14:textId="3E81207F" w:rsidR="0038032A" w:rsidRPr="007B603C" w:rsidRDefault="0038032A" w:rsidP="008E311B">
            <w:pPr>
              <w:pStyle w:val="Reference"/>
              <w:numPr>
                <w:ilvl w:val="0"/>
                <w:numId w:val="0"/>
              </w:numPr>
              <w:rPr>
                <w:rFonts w:cs="Arial"/>
                <w:sz w:val="20"/>
                <w:szCs w:val="18"/>
              </w:rPr>
            </w:pPr>
            <w:r w:rsidRPr="007B603C">
              <w:rPr>
                <w:rFonts w:cs="Arial"/>
                <w:sz w:val="20"/>
                <w:szCs w:val="18"/>
              </w:rPr>
              <w:t>2 symbols</w:t>
            </w:r>
          </w:p>
        </w:tc>
      </w:tr>
      <w:tr w:rsidR="0038032A" w:rsidRPr="008E311B" w14:paraId="20FB3438" w14:textId="77777777" w:rsidTr="007B603C">
        <w:tc>
          <w:tcPr>
            <w:tcW w:w="1484" w:type="dxa"/>
            <w:vMerge w:val="restart"/>
          </w:tcPr>
          <w:p w14:paraId="701C3B30" w14:textId="422A7545" w:rsidR="0038032A" w:rsidRPr="007B603C" w:rsidRDefault="0038032A" w:rsidP="008E311B">
            <w:pPr>
              <w:pStyle w:val="Reference"/>
              <w:numPr>
                <w:ilvl w:val="0"/>
                <w:numId w:val="0"/>
              </w:numPr>
              <w:rPr>
                <w:rFonts w:cs="Arial"/>
                <w:sz w:val="20"/>
                <w:szCs w:val="18"/>
                <w:lang w:val="es-ES"/>
              </w:rPr>
            </w:pPr>
            <w:r w:rsidRPr="007B603C">
              <w:rPr>
                <w:rFonts w:cs="Arial"/>
                <w:sz w:val="20"/>
                <w:szCs w:val="18"/>
                <w:lang w:val="es-ES"/>
              </w:rPr>
              <w:t>Channel access</w:t>
            </w:r>
          </w:p>
        </w:tc>
        <w:tc>
          <w:tcPr>
            <w:tcW w:w="2384" w:type="dxa"/>
          </w:tcPr>
          <w:p w14:paraId="0617861E" w14:textId="1A4C33FC" w:rsidR="0038032A" w:rsidRPr="007B603C" w:rsidRDefault="0038032A" w:rsidP="008E311B">
            <w:pPr>
              <w:pStyle w:val="Reference"/>
              <w:numPr>
                <w:ilvl w:val="0"/>
                <w:numId w:val="0"/>
              </w:numPr>
              <w:rPr>
                <w:rFonts w:cs="Arial"/>
                <w:sz w:val="20"/>
                <w:szCs w:val="18"/>
                <w:lang w:val="es-ES"/>
              </w:rPr>
            </w:pPr>
            <w:r w:rsidRPr="007B603C">
              <w:rPr>
                <w:rFonts w:cs="Arial"/>
                <w:sz w:val="20"/>
                <w:szCs w:val="18"/>
                <w:lang w:val="es-ES"/>
              </w:rPr>
              <w:t>PSCCH/PSSCH</w:t>
            </w:r>
          </w:p>
        </w:tc>
        <w:tc>
          <w:tcPr>
            <w:tcW w:w="5474" w:type="dxa"/>
          </w:tcPr>
          <w:p w14:paraId="4F80F31B" w14:textId="383405F6" w:rsidR="0038032A" w:rsidRPr="007B603C" w:rsidRDefault="0038032A" w:rsidP="008E311B">
            <w:pPr>
              <w:pStyle w:val="Reference"/>
              <w:numPr>
                <w:ilvl w:val="0"/>
                <w:numId w:val="0"/>
              </w:numPr>
              <w:rPr>
                <w:rFonts w:cs="Arial"/>
                <w:sz w:val="20"/>
                <w:szCs w:val="18"/>
              </w:rPr>
            </w:pPr>
            <w:r w:rsidRPr="007B603C">
              <w:rPr>
                <w:rFonts w:cs="Arial"/>
                <w:sz w:val="20"/>
                <w:szCs w:val="18"/>
              </w:rPr>
              <w:t>LBT Type 1</w:t>
            </w:r>
          </w:p>
        </w:tc>
      </w:tr>
      <w:tr w:rsidR="0038032A" w:rsidRPr="008E311B" w14:paraId="318F847E" w14:textId="77777777" w:rsidTr="007B603C">
        <w:tc>
          <w:tcPr>
            <w:tcW w:w="1484" w:type="dxa"/>
            <w:vMerge/>
          </w:tcPr>
          <w:p w14:paraId="600F00EA" w14:textId="77777777" w:rsidR="0038032A" w:rsidRPr="007B603C" w:rsidRDefault="0038032A" w:rsidP="008E311B">
            <w:pPr>
              <w:pStyle w:val="Reference"/>
              <w:numPr>
                <w:ilvl w:val="0"/>
                <w:numId w:val="0"/>
              </w:numPr>
              <w:rPr>
                <w:rFonts w:cs="Arial"/>
                <w:sz w:val="20"/>
                <w:szCs w:val="18"/>
                <w:lang w:val="es-ES"/>
              </w:rPr>
            </w:pPr>
          </w:p>
        </w:tc>
        <w:tc>
          <w:tcPr>
            <w:tcW w:w="2384" w:type="dxa"/>
          </w:tcPr>
          <w:p w14:paraId="3AA2F02B" w14:textId="139FF074" w:rsidR="0038032A" w:rsidRPr="007B603C" w:rsidRDefault="0038032A" w:rsidP="008E311B">
            <w:pPr>
              <w:pStyle w:val="Reference"/>
              <w:numPr>
                <w:ilvl w:val="0"/>
                <w:numId w:val="0"/>
              </w:numPr>
              <w:rPr>
                <w:rFonts w:cs="Arial"/>
                <w:sz w:val="20"/>
                <w:szCs w:val="18"/>
                <w:lang w:val="es-ES"/>
              </w:rPr>
            </w:pPr>
            <w:r w:rsidRPr="007B603C">
              <w:rPr>
                <w:rFonts w:cs="Arial"/>
                <w:sz w:val="20"/>
                <w:szCs w:val="18"/>
                <w:lang w:val="es-ES"/>
              </w:rPr>
              <w:t>PSFCH</w:t>
            </w:r>
          </w:p>
        </w:tc>
        <w:tc>
          <w:tcPr>
            <w:tcW w:w="5474" w:type="dxa"/>
          </w:tcPr>
          <w:p w14:paraId="17E46F53" w14:textId="2828CB4D" w:rsidR="0038032A" w:rsidRPr="007B603C" w:rsidRDefault="0038032A" w:rsidP="008E311B">
            <w:pPr>
              <w:pStyle w:val="Reference"/>
              <w:numPr>
                <w:ilvl w:val="0"/>
                <w:numId w:val="0"/>
              </w:numPr>
              <w:rPr>
                <w:rFonts w:cs="Arial"/>
                <w:sz w:val="20"/>
                <w:szCs w:val="18"/>
              </w:rPr>
            </w:pPr>
            <w:r w:rsidRPr="007B603C">
              <w:rPr>
                <w:rFonts w:cs="Arial"/>
                <w:sz w:val="20"/>
                <w:szCs w:val="18"/>
              </w:rPr>
              <w:t>LBT Type 2B</w:t>
            </w:r>
          </w:p>
        </w:tc>
      </w:tr>
      <w:tr w:rsidR="0038032A" w:rsidRPr="008E311B" w14:paraId="4E078446" w14:textId="77777777" w:rsidTr="007B603C">
        <w:tc>
          <w:tcPr>
            <w:tcW w:w="1484" w:type="dxa"/>
            <w:vMerge/>
          </w:tcPr>
          <w:p w14:paraId="521A73D1" w14:textId="77777777" w:rsidR="0038032A" w:rsidRPr="007B603C" w:rsidRDefault="0038032A" w:rsidP="008E311B">
            <w:pPr>
              <w:pStyle w:val="Reference"/>
              <w:numPr>
                <w:ilvl w:val="0"/>
                <w:numId w:val="0"/>
              </w:numPr>
              <w:rPr>
                <w:rFonts w:cs="Arial"/>
                <w:sz w:val="20"/>
                <w:szCs w:val="18"/>
                <w:lang w:val="es-ES"/>
              </w:rPr>
            </w:pPr>
          </w:p>
        </w:tc>
        <w:tc>
          <w:tcPr>
            <w:tcW w:w="2384" w:type="dxa"/>
          </w:tcPr>
          <w:p w14:paraId="5BDA038C" w14:textId="21389F92" w:rsidR="0038032A" w:rsidRPr="007B603C" w:rsidRDefault="0038032A" w:rsidP="008E311B">
            <w:pPr>
              <w:pStyle w:val="Reference"/>
              <w:numPr>
                <w:ilvl w:val="0"/>
                <w:numId w:val="0"/>
              </w:numPr>
              <w:rPr>
                <w:rFonts w:cs="Arial"/>
                <w:sz w:val="20"/>
                <w:szCs w:val="18"/>
                <w:lang w:val="es-ES"/>
              </w:rPr>
            </w:pPr>
            <w:r w:rsidRPr="007B603C">
              <w:rPr>
                <w:rFonts w:cs="Arial"/>
                <w:sz w:val="20"/>
                <w:szCs w:val="18"/>
                <w:lang w:val="es-ES"/>
              </w:rPr>
              <w:t>ED threshold</w:t>
            </w:r>
          </w:p>
        </w:tc>
        <w:tc>
          <w:tcPr>
            <w:tcW w:w="5474" w:type="dxa"/>
          </w:tcPr>
          <w:p w14:paraId="55C6FDE8" w14:textId="660DD08B" w:rsidR="0038032A" w:rsidRPr="007B603C" w:rsidRDefault="0038032A" w:rsidP="008E311B">
            <w:pPr>
              <w:pStyle w:val="Reference"/>
              <w:numPr>
                <w:ilvl w:val="0"/>
                <w:numId w:val="0"/>
              </w:numPr>
              <w:rPr>
                <w:rFonts w:cs="Arial"/>
                <w:sz w:val="20"/>
                <w:szCs w:val="18"/>
              </w:rPr>
            </w:pPr>
            <w:r w:rsidRPr="007B603C">
              <w:rPr>
                <w:rFonts w:cs="Arial"/>
                <w:sz w:val="20"/>
                <w:szCs w:val="18"/>
              </w:rPr>
              <w:t>-85 dBm/MHz</w:t>
            </w:r>
          </w:p>
        </w:tc>
      </w:tr>
    </w:tbl>
    <w:p w14:paraId="3426E9A6" w14:textId="63D7778D" w:rsidR="002368D6" w:rsidRPr="00FE708D" w:rsidRDefault="007D4DC0" w:rsidP="00000335">
      <w:pPr>
        <w:pStyle w:val="Heading2"/>
      </w:pPr>
      <w:r>
        <w:t>A.2</w:t>
      </w:r>
    </w:p>
    <w:tbl>
      <w:tblPr>
        <w:tblStyle w:val="TableGrid"/>
        <w:tblW w:w="9342" w:type="dxa"/>
        <w:tblInd w:w="567" w:type="dxa"/>
        <w:tblLook w:val="04A0" w:firstRow="1" w:lastRow="0" w:firstColumn="1" w:lastColumn="0" w:noHBand="0" w:noVBand="1"/>
      </w:tblPr>
      <w:tblGrid>
        <w:gridCol w:w="1484"/>
        <w:gridCol w:w="2384"/>
        <w:gridCol w:w="5474"/>
      </w:tblGrid>
      <w:tr w:rsidR="002368D6" w:rsidRPr="008E311B" w14:paraId="38E4DD98" w14:textId="77777777" w:rsidTr="0001091F">
        <w:tc>
          <w:tcPr>
            <w:tcW w:w="3868" w:type="dxa"/>
            <w:gridSpan w:val="2"/>
          </w:tcPr>
          <w:p w14:paraId="53DE55C7" w14:textId="77777777" w:rsidR="002368D6" w:rsidRPr="007B603C" w:rsidRDefault="002368D6" w:rsidP="0001091F">
            <w:pPr>
              <w:pStyle w:val="Reference"/>
              <w:numPr>
                <w:ilvl w:val="0"/>
                <w:numId w:val="0"/>
              </w:numPr>
              <w:jc w:val="center"/>
              <w:rPr>
                <w:rFonts w:cs="Arial"/>
                <w:b/>
                <w:bCs/>
                <w:sz w:val="20"/>
                <w:szCs w:val="18"/>
              </w:rPr>
            </w:pPr>
            <w:r w:rsidRPr="007B603C">
              <w:rPr>
                <w:rFonts w:cs="Arial"/>
                <w:b/>
                <w:bCs/>
                <w:sz w:val="20"/>
                <w:szCs w:val="18"/>
              </w:rPr>
              <w:t>Parameter</w:t>
            </w:r>
          </w:p>
        </w:tc>
        <w:tc>
          <w:tcPr>
            <w:tcW w:w="5474" w:type="dxa"/>
          </w:tcPr>
          <w:p w14:paraId="138D9048" w14:textId="77777777" w:rsidR="002368D6" w:rsidRPr="007B603C" w:rsidRDefault="002368D6" w:rsidP="0001091F">
            <w:pPr>
              <w:pStyle w:val="Reference"/>
              <w:numPr>
                <w:ilvl w:val="0"/>
                <w:numId w:val="0"/>
              </w:numPr>
              <w:jc w:val="center"/>
              <w:rPr>
                <w:rFonts w:cs="Arial"/>
                <w:b/>
                <w:bCs/>
                <w:sz w:val="20"/>
                <w:szCs w:val="18"/>
              </w:rPr>
            </w:pPr>
            <w:r w:rsidRPr="007B603C">
              <w:rPr>
                <w:rFonts w:cs="Arial"/>
                <w:b/>
                <w:bCs/>
                <w:sz w:val="20"/>
                <w:szCs w:val="18"/>
              </w:rPr>
              <w:t>Value</w:t>
            </w:r>
          </w:p>
        </w:tc>
      </w:tr>
      <w:tr w:rsidR="002368D6" w:rsidRPr="008E311B" w14:paraId="5AEF8F8D" w14:textId="77777777" w:rsidTr="0001091F">
        <w:tc>
          <w:tcPr>
            <w:tcW w:w="1484" w:type="dxa"/>
            <w:vMerge w:val="restart"/>
          </w:tcPr>
          <w:p w14:paraId="3F15D5FA" w14:textId="77777777" w:rsidR="002368D6" w:rsidRPr="007B603C" w:rsidRDefault="002368D6" w:rsidP="0001091F">
            <w:pPr>
              <w:pStyle w:val="Reference"/>
              <w:ind w:left="0"/>
              <w:rPr>
                <w:rFonts w:cs="Arial"/>
                <w:sz w:val="20"/>
                <w:szCs w:val="18"/>
              </w:rPr>
            </w:pPr>
            <w:r w:rsidRPr="007B603C">
              <w:rPr>
                <w:rFonts w:cs="Arial"/>
                <w:sz w:val="20"/>
                <w:szCs w:val="18"/>
              </w:rPr>
              <w:t>Deployment</w:t>
            </w:r>
          </w:p>
        </w:tc>
        <w:tc>
          <w:tcPr>
            <w:tcW w:w="2384" w:type="dxa"/>
          </w:tcPr>
          <w:p w14:paraId="43BEB5C8"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Model</w:t>
            </w:r>
          </w:p>
        </w:tc>
        <w:tc>
          <w:tcPr>
            <w:tcW w:w="5474" w:type="dxa"/>
          </w:tcPr>
          <w:p w14:paraId="06508AF5"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NR InH mixed office model</w:t>
            </w:r>
          </w:p>
        </w:tc>
      </w:tr>
      <w:tr w:rsidR="002368D6" w:rsidRPr="008E311B" w14:paraId="240DFA52" w14:textId="77777777" w:rsidTr="0001091F">
        <w:tc>
          <w:tcPr>
            <w:tcW w:w="1484" w:type="dxa"/>
            <w:vMerge/>
          </w:tcPr>
          <w:p w14:paraId="3362F70E" w14:textId="77777777" w:rsidR="002368D6" w:rsidRPr="007B603C" w:rsidRDefault="002368D6" w:rsidP="0001091F">
            <w:pPr>
              <w:pStyle w:val="Reference"/>
              <w:numPr>
                <w:ilvl w:val="0"/>
                <w:numId w:val="0"/>
              </w:numPr>
              <w:rPr>
                <w:rFonts w:cs="Arial"/>
                <w:sz w:val="20"/>
                <w:szCs w:val="18"/>
              </w:rPr>
            </w:pPr>
          </w:p>
        </w:tc>
        <w:tc>
          <w:tcPr>
            <w:tcW w:w="2384" w:type="dxa"/>
          </w:tcPr>
          <w:p w14:paraId="76AC9DF6"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Number of UEs</w:t>
            </w:r>
          </w:p>
        </w:tc>
        <w:tc>
          <w:tcPr>
            <w:tcW w:w="5474" w:type="dxa"/>
          </w:tcPr>
          <w:p w14:paraId="5734EA51"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10 (5 pairs)</w:t>
            </w:r>
          </w:p>
        </w:tc>
      </w:tr>
      <w:tr w:rsidR="002368D6" w:rsidRPr="008E311B" w14:paraId="667E8ADC" w14:textId="77777777" w:rsidTr="0001091F">
        <w:tc>
          <w:tcPr>
            <w:tcW w:w="1484" w:type="dxa"/>
            <w:vMerge/>
          </w:tcPr>
          <w:p w14:paraId="4748EDE9" w14:textId="77777777" w:rsidR="002368D6" w:rsidRPr="007B603C" w:rsidRDefault="002368D6" w:rsidP="0001091F">
            <w:pPr>
              <w:pStyle w:val="Reference"/>
              <w:numPr>
                <w:ilvl w:val="0"/>
                <w:numId w:val="0"/>
              </w:numPr>
              <w:rPr>
                <w:rFonts w:cs="Arial"/>
                <w:sz w:val="20"/>
                <w:szCs w:val="18"/>
              </w:rPr>
            </w:pPr>
          </w:p>
        </w:tc>
        <w:tc>
          <w:tcPr>
            <w:tcW w:w="2384" w:type="dxa"/>
          </w:tcPr>
          <w:p w14:paraId="53DBE07B"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Number of interferers</w:t>
            </w:r>
          </w:p>
        </w:tc>
        <w:tc>
          <w:tcPr>
            <w:tcW w:w="5474" w:type="dxa"/>
          </w:tcPr>
          <w:p w14:paraId="353FAA8C"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10 (WiFi)</w:t>
            </w:r>
          </w:p>
        </w:tc>
      </w:tr>
      <w:tr w:rsidR="002368D6" w:rsidRPr="008E311B" w14:paraId="1CEA6F89" w14:textId="77777777" w:rsidTr="0001091F">
        <w:tc>
          <w:tcPr>
            <w:tcW w:w="1484" w:type="dxa"/>
            <w:vMerge w:val="restart"/>
          </w:tcPr>
          <w:p w14:paraId="1FA1F723"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Traffic model</w:t>
            </w:r>
          </w:p>
        </w:tc>
        <w:tc>
          <w:tcPr>
            <w:tcW w:w="2384" w:type="dxa"/>
          </w:tcPr>
          <w:p w14:paraId="2392ABB2"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UEs</w:t>
            </w:r>
          </w:p>
        </w:tc>
        <w:tc>
          <w:tcPr>
            <w:tcW w:w="5474" w:type="dxa"/>
          </w:tcPr>
          <w:p w14:paraId="4CD1850F" w14:textId="5C1251B5" w:rsidR="002368D6" w:rsidRPr="00F87A7E" w:rsidRDefault="00F87A7E" w:rsidP="0001091F">
            <w:pPr>
              <w:pStyle w:val="Reference"/>
              <w:numPr>
                <w:ilvl w:val="0"/>
                <w:numId w:val="0"/>
              </w:numPr>
              <w:rPr>
                <w:rFonts w:cs="Arial"/>
                <w:sz w:val="20"/>
                <w:szCs w:val="18"/>
              </w:rPr>
            </w:pPr>
            <w:r>
              <w:rPr>
                <w:rFonts w:cs="Arial"/>
                <w:sz w:val="20"/>
                <w:szCs w:val="18"/>
              </w:rPr>
              <w:t>FTP Model 3 with varying offered load</w:t>
            </w:r>
          </w:p>
        </w:tc>
      </w:tr>
      <w:tr w:rsidR="002368D6" w:rsidRPr="008E311B" w14:paraId="3AB3BEF2" w14:textId="77777777" w:rsidTr="0001091F">
        <w:tc>
          <w:tcPr>
            <w:tcW w:w="1484" w:type="dxa"/>
            <w:vMerge/>
          </w:tcPr>
          <w:p w14:paraId="68C5A180" w14:textId="77777777" w:rsidR="002368D6" w:rsidRPr="007B603C" w:rsidRDefault="002368D6" w:rsidP="0001091F">
            <w:pPr>
              <w:pStyle w:val="Reference"/>
              <w:numPr>
                <w:ilvl w:val="0"/>
                <w:numId w:val="0"/>
              </w:numPr>
              <w:rPr>
                <w:rFonts w:cs="Arial"/>
                <w:sz w:val="20"/>
                <w:szCs w:val="18"/>
              </w:rPr>
            </w:pPr>
          </w:p>
        </w:tc>
        <w:tc>
          <w:tcPr>
            <w:tcW w:w="2384" w:type="dxa"/>
          </w:tcPr>
          <w:p w14:paraId="00D19753"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Interferers</w:t>
            </w:r>
          </w:p>
        </w:tc>
        <w:tc>
          <w:tcPr>
            <w:tcW w:w="5474" w:type="dxa"/>
          </w:tcPr>
          <w:p w14:paraId="03A70D3E" w14:textId="45D585C3" w:rsidR="002368D6" w:rsidRPr="007B603C" w:rsidRDefault="00F87A7E" w:rsidP="0001091F">
            <w:pPr>
              <w:pStyle w:val="Reference"/>
              <w:numPr>
                <w:ilvl w:val="0"/>
                <w:numId w:val="0"/>
              </w:numPr>
              <w:rPr>
                <w:rFonts w:cs="Arial"/>
                <w:sz w:val="20"/>
                <w:szCs w:val="18"/>
              </w:rPr>
            </w:pPr>
            <w:r>
              <w:rPr>
                <w:rFonts w:cs="Arial"/>
                <w:sz w:val="20"/>
                <w:szCs w:val="18"/>
              </w:rPr>
              <w:t>FTP Model 3 with varying offered load</w:t>
            </w:r>
          </w:p>
        </w:tc>
      </w:tr>
      <w:tr w:rsidR="002368D6" w:rsidRPr="008E311B" w14:paraId="5E8702D4" w14:textId="77777777" w:rsidTr="0001091F">
        <w:tc>
          <w:tcPr>
            <w:tcW w:w="1484" w:type="dxa"/>
            <w:vMerge/>
          </w:tcPr>
          <w:p w14:paraId="1CB10A76" w14:textId="77777777" w:rsidR="002368D6" w:rsidRPr="007B603C" w:rsidRDefault="002368D6" w:rsidP="0001091F">
            <w:pPr>
              <w:pStyle w:val="Reference"/>
              <w:numPr>
                <w:ilvl w:val="0"/>
                <w:numId w:val="0"/>
              </w:numPr>
              <w:rPr>
                <w:rFonts w:cs="Arial"/>
                <w:sz w:val="20"/>
                <w:szCs w:val="18"/>
              </w:rPr>
            </w:pPr>
          </w:p>
        </w:tc>
        <w:tc>
          <w:tcPr>
            <w:tcW w:w="2384" w:type="dxa"/>
          </w:tcPr>
          <w:p w14:paraId="4EEB2277"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Cast mode</w:t>
            </w:r>
          </w:p>
        </w:tc>
        <w:tc>
          <w:tcPr>
            <w:tcW w:w="5474" w:type="dxa"/>
          </w:tcPr>
          <w:p w14:paraId="2D9601A7" w14:textId="77777777" w:rsidR="002368D6" w:rsidRDefault="002368D6" w:rsidP="0001091F">
            <w:pPr>
              <w:pStyle w:val="Reference"/>
              <w:numPr>
                <w:ilvl w:val="0"/>
                <w:numId w:val="0"/>
              </w:numPr>
              <w:rPr>
                <w:rFonts w:cs="Arial"/>
                <w:sz w:val="20"/>
                <w:szCs w:val="18"/>
              </w:rPr>
            </w:pPr>
            <w:r w:rsidRPr="007B603C">
              <w:rPr>
                <w:rFonts w:cs="Arial"/>
                <w:sz w:val="20"/>
                <w:szCs w:val="18"/>
              </w:rPr>
              <w:t>Unicast</w:t>
            </w:r>
          </w:p>
          <w:p w14:paraId="6ECA3603" w14:textId="2B797118" w:rsidR="002368D6" w:rsidRPr="00F52278" w:rsidRDefault="002368D6" w:rsidP="0001091F">
            <w:pPr>
              <w:pStyle w:val="Reference"/>
              <w:numPr>
                <w:ilvl w:val="0"/>
                <w:numId w:val="0"/>
              </w:numPr>
              <w:rPr>
                <w:rFonts w:cs="Arial"/>
                <w:sz w:val="20"/>
                <w:szCs w:val="18"/>
              </w:rPr>
            </w:pPr>
            <w:r>
              <w:rPr>
                <w:rFonts w:cs="Arial"/>
                <w:sz w:val="20"/>
                <w:szCs w:val="18"/>
              </w:rPr>
              <w:t xml:space="preserve">Pairing: TX-RX separated by </w:t>
            </w:r>
            <w:r w:rsidR="007E6C4A">
              <w:rPr>
                <w:rFonts w:cs="Arial"/>
                <w:sz w:val="20"/>
                <w:szCs w:val="18"/>
              </w:rPr>
              <w:t>10</w:t>
            </w:r>
            <w:r>
              <w:rPr>
                <w:rFonts w:cs="Arial"/>
                <w:sz w:val="20"/>
                <w:szCs w:val="18"/>
              </w:rPr>
              <w:t xml:space="preserve"> m, at a random angle</w:t>
            </w:r>
          </w:p>
        </w:tc>
      </w:tr>
      <w:tr w:rsidR="002368D6" w:rsidRPr="008E311B" w14:paraId="02CA9BDD" w14:textId="77777777" w:rsidTr="0001091F">
        <w:tc>
          <w:tcPr>
            <w:tcW w:w="1484" w:type="dxa"/>
            <w:vMerge w:val="restart"/>
          </w:tcPr>
          <w:p w14:paraId="7C847506"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Channel</w:t>
            </w:r>
          </w:p>
        </w:tc>
        <w:tc>
          <w:tcPr>
            <w:tcW w:w="2384" w:type="dxa"/>
          </w:tcPr>
          <w:p w14:paraId="008A6A9C"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Frequency</w:t>
            </w:r>
          </w:p>
        </w:tc>
        <w:tc>
          <w:tcPr>
            <w:tcW w:w="5474" w:type="dxa"/>
          </w:tcPr>
          <w:p w14:paraId="592886DC" w14:textId="1762BB7D" w:rsidR="002368D6" w:rsidRPr="007B603C" w:rsidRDefault="002368D6" w:rsidP="0001091F">
            <w:pPr>
              <w:pStyle w:val="Reference"/>
              <w:numPr>
                <w:ilvl w:val="0"/>
                <w:numId w:val="0"/>
              </w:numPr>
              <w:rPr>
                <w:rFonts w:cs="Arial"/>
                <w:sz w:val="20"/>
                <w:szCs w:val="18"/>
              </w:rPr>
            </w:pPr>
            <w:r w:rsidRPr="007B603C">
              <w:rPr>
                <w:rFonts w:cs="Arial"/>
                <w:sz w:val="20"/>
                <w:szCs w:val="18"/>
              </w:rPr>
              <w:t>5</w:t>
            </w:r>
            <w:r w:rsidR="000770ED">
              <w:rPr>
                <w:rFonts w:cs="Arial"/>
                <w:sz w:val="20"/>
                <w:szCs w:val="18"/>
              </w:rPr>
              <w:t>.2</w:t>
            </w:r>
            <w:r w:rsidRPr="007B603C">
              <w:rPr>
                <w:rFonts w:cs="Arial"/>
                <w:sz w:val="20"/>
                <w:szCs w:val="18"/>
              </w:rPr>
              <w:t xml:space="preserve"> GHz</w:t>
            </w:r>
          </w:p>
        </w:tc>
      </w:tr>
      <w:tr w:rsidR="002368D6" w:rsidRPr="008E311B" w14:paraId="3497F497" w14:textId="77777777" w:rsidTr="0001091F">
        <w:tc>
          <w:tcPr>
            <w:tcW w:w="1484" w:type="dxa"/>
            <w:vMerge/>
          </w:tcPr>
          <w:p w14:paraId="31CA287B" w14:textId="77777777" w:rsidR="002368D6" w:rsidRPr="007B603C" w:rsidRDefault="002368D6" w:rsidP="0001091F">
            <w:pPr>
              <w:pStyle w:val="Reference"/>
              <w:numPr>
                <w:ilvl w:val="0"/>
                <w:numId w:val="0"/>
              </w:numPr>
              <w:rPr>
                <w:rFonts w:cs="Arial"/>
                <w:sz w:val="20"/>
                <w:szCs w:val="18"/>
              </w:rPr>
            </w:pPr>
          </w:p>
        </w:tc>
        <w:tc>
          <w:tcPr>
            <w:tcW w:w="2384" w:type="dxa"/>
          </w:tcPr>
          <w:p w14:paraId="337FBD32"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Bandwidth</w:t>
            </w:r>
          </w:p>
        </w:tc>
        <w:tc>
          <w:tcPr>
            <w:tcW w:w="5474" w:type="dxa"/>
          </w:tcPr>
          <w:p w14:paraId="4689EEB8"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 xml:space="preserve">1 carrier, </w:t>
            </w:r>
            <w:r w:rsidRPr="007B603C">
              <w:rPr>
                <w:rFonts w:cs="Arial"/>
                <w:sz w:val="20"/>
                <w:szCs w:val="18"/>
              </w:rPr>
              <w:t>20 MHz</w:t>
            </w:r>
          </w:p>
        </w:tc>
      </w:tr>
      <w:tr w:rsidR="002368D6" w:rsidRPr="008E311B" w14:paraId="7211D9C2" w14:textId="77777777" w:rsidTr="0001091F">
        <w:tc>
          <w:tcPr>
            <w:tcW w:w="1484" w:type="dxa"/>
            <w:vMerge/>
          </w:tcPr>
          <w:p w14:paraId="448F2656" w14:textId="77777777" w:rsidR="002368D6" w:rsidRPr="007B603C" w:rsidRDefault="002368D6" w:rsidP="0001091F">
            <w:pPr>
              <w:pStyle w:val="Reference"/>
              <w:numPr>
                <w:ilvl w:val="0"/>
                <w:numId w:val="0"/>
              </w:numPr>
              <w:rPr>
                <w:rFonts w:cs="Arial"/>
                <w:sz w:val="20"/>
                <w:szCs w:val="18"/>
              </w:rPr>
            </w:pPr>
          </w:p>
        </w:tc>
        <w:tc>
          <w:tcPr>
            <w:tcW w:w="2384" w:type="dxa"/>
          </w:tcPr>
          <w:p w14:paraId="42BE9725"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 xml:space="preserve">Model </w:t>
            </w:r>
          </w:p>
        </w:tc>
        <w:tc>
          <w:tcPr>
            <w:tcW w:w="5474" w:type="dxa"/>
          </w:tcPr>
          <w:p w14:paraId="24B9417B"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InH office pathloss model with proper d_3D with indoor mixed office LOS probability</w:t>
            </w:r>
          </w:p>
        </w:tc>
      </w:tr>
      <w:tr w:rsidR="002368D6" w:rsidRPr="008E311B" w14:paraId="55ABF00E" w14:textId="77777777" w:rsidTr="0001091F">
        <w:tc>
          <w:tcPr>
            <w:tcW w:w="1484" w:type="dxa"/>
            <w:vMerge w:val="restart"/>
          </w:tcPr>
          <w:p w14:paraId="31DBCBA8"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BWP / pool config</w:t>
            </w:r>
          </w:p>
        </w:tc>
        <w:tc>
          <w:tcPr>
            <w:tcW w:w="2384" w:type="dxa"/>
          </w:tcPr>
          <w:p w14:paraId="5820C053"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SCS</w:t>
            </w:r>
          </w:p>
        </w:tc>
        <w:tc>
          <w:tcPr>
            <w:tcW w:w="5474" w:type="dxa"/>
          </w:tcPr>
          <w:p w14:paraId="7B7F1740"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30 kHz / 51 RBs</w:t>
            </w:r>
          </w:p>
        </w:tc>
      </w:tr>
      <w:tr w:rsidR="002368D6" w:rsidRPr="008E311B" w14:paraId="57F34FDF" w14:textId="77777777" w:rsidTr="0001091F">
        <w:tc>
          <w:tcPr>
            <w:tcW w:w="1484" w:type="dxa"/>
            <w:vMerge/>
          </w:tcPr>
          <w:p w14:paraId="40252207" w14:textId="77777777" w:rsidR="002368D6" w:rsidRPr="007B603C" w:rsidRDefault="002368D6" w:rsidP="0001091F">
            <w:pPr>
              <w:pStyle w:val="Reference"/>
              <w:numPr>
                <w:ilvl w:val="0"/>
                <w:numId w:val="0"/>
              </w:numPr>
              <w:rPr>
                <w:rFonts w:cs="Arial"/>
                <w:sz w:val="20"/>
                <w:szCs w:val="18"/>
              </w:rPr>
            </w:pPr>
          </w:p>
        </w:tc>
        <w:tc>
          <w:tcPr>
            <w:tcW w:w="2384" w:type="dxa"/>
          </w:tcPr>
          <w:p w14:paraId="6B973152"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rPr>
              <w:t>#S</w:t>
            </w:r>
            <w:r w:rsidRPr="007B603C">
              <w:rPr>
                <w:rFonts w:cs="Arial"/>
                <w:sz w:val="20"/>
                <w:szCs w:val="18"/>
                <w:lang w:val="es-ES"/>
              </w:rPr>
              <w:t>ubchannels</w:t>
            </w:r>
          </w:p>
        </w:tc>
        <w:tc>
          <w:tcPr>
            <w:tcW w:w="5474" w:type="dxa"/>
          </w:tcPr>
          <w:p w14:paraId="224BFB45"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4 (12 RBs)</w:t>
            </w:r>
          </w:p>
        </w:tc>
      </w:tr>
      <w:tr w:rsidR="002368D6" w:rsidRPr="008E311B" w14:paraId="0027EA4B" w14:textId="77777777" w:rsidTr="0001091F">
        <w:tc>
          <w:tcPr>
            <w:tcW w:w="1484" w:type="dxa"/>
            <w:vMerge/>
          </w:tcPr>
          <w:p w14:paraId="2C4BF4A1" w14:textId="77777777" w:rsidR="002368D6" w:rsidRPr="007B603C" w:rsidRDefault="002368D6" w:rsidP="0001091F">
            <w:pPr>
              <w:pStyle w:val="Reference"/>
              <w:numPr>
                <w:ilvl w:val="0"/>
                <w:numId w:val="0"/>
              </w:numPr>
              <w:rPr>
                <w:rFonts w:cs="Arial"/>
                <w:sz w:val="20"/>
                <w:szCs w:val="18"/>
              </w:rPr>
            </w:pPr>
          </w:p>
        </w:tc>
        <w:tc>
          <w:tcPr>
            <w:tcW w:w="2384" w:type="dxa"/>
          </w:tcPr>
          <w:p w14:paraId="78F49D6D"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PSFCH periodicity</w:t>
            </w:r>
          </w:p>
        </w:tc>
        <w:tc>
          <w:tcPr>
            <w:tcW w:w="5474" w:type="dxa"/>
          </w:tcPr>
          <w:p w14:paraId="5B484FBD"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1 slot</w:t>
            </w:r>
          </w:p>
        </w:tc>
      </w:tr>
      <w:tr w:rsidR="002368D6" w:rsidRPr="008E311B" w14:paraId="386E9A8E" w14:textId="77777777" w:rsidTr="0001091F">
        <w:tc>
          <w:tcPr>
            <w:tcW w:w="1484" w:type="dxa"/>
            <w:vMerge w:val="restart"/>
          </w:tcPr>
          <w:p w14:paraId="1653F08D" w14:textId="77777777" w:rsidR="002368D6" w:rsidRPr="007B603C" w:rsidRDefault="002368D6" w:rsidP="0001091F">
            <w:pPr>
              <w:pStyle w:val="Reference"/>
              <w:numPr>
                <w:ilvl w:val="0"/>
                <w:numId w:val="0"/>
              </w:numPr>
              <w:rPr>
                <w:rFonts w:cs="Arial"/>
                <w:sz w:val="20"/>
                <w:szCs w:val="18"/>
                <w:lang w:val="es-ES"/>
              </w:rPr>
            </w:pPr>
            <w:r w:rsidRPr="007B603C">
              <w:rPr>
                <w:rFonts w:cs="Arial"/>
                <w:sz w:val="20"/>
                <w:szCs w:val="18"/>
                <w:lang w:val="es-ES"/>
              </w:rPr>
              <w:t>TX parameters</w:t>
            </w:r>
          </w:p>
        </w:tc>
        <w:tc>
          <w:tcPr>
            <w:tcW w:w="2384" w:type="dxa"/>
          </w:tcPr>
          <w:p w14:paraId="2D4018A2" w14:textId="77777777" w:rsidR="002368D6" w:rsidRPr="007B603C" w:rsidRDefault="002368D6" w:rsidP="0001091F">
            <w:pPr>
              <w:pStyle w:val="Reference"/>
              <w:numPr>
                <w:ilvl w:val="0"/>
                <w:numId w:val="0"/>
              </w:numPr>
              <w:rPr>
                <w:rFonts w:cs="Arial"/>
                <w:sz w:val="20"/>
                <w:szCs w:val="18"/>
                <w:lang w:val="sv-SE"/>
              </w:rPr>
            </w:pPr>
            <w:r w:rsidRPr="007B603C">
              <w:rPr>
                <w:rFonts w:cs="Arial"/>
                <w:sz w:val="20"/>
                <w:szCs w:val="18"/>
              </w:rPr>
              <w:t>#T</w:t>
            </w:r>
            <w:r w:rsidRPr="007B603C">
              <w:rPr>
                <w:rFonts w:cs="Arial"/>
                <w:sz w:val="20"/>
                <w:szCs w:val="18"/>
                <w:lang w:val="sv-SE"/>
              </w:rPr>
              <w:t>ransmissions per TB</w:t>
            </w:r>
          </w:p>
        </w:tc>
        <w:tc>
          <w:tcPr>
            <w:tcW w:w="5474" w:type="dxa"/>
          </w:tcPr>
          <w:p w14:paraId="0EFDC4AB" w14:textId="6CF464BB" w:rsidR="002368D6" w:rsidRPr="007B603C" w:rsidRDefault="0034243B" w:rsidP="0001091F">
            <w:pPr>
              <w:pStyle w:val="Reference"/>
              <w:numPr>
                <w:ilvl w:val="0"/>
                <w:numId w:val="0"/>
              </w:numPr>
              <w:rPr>
                <w:rFonts w:cs="Arial"/>
                <w:sz w:val="20"/>
                <w:szCs w:val="18"/>
              </w:rPr>
            </w:pPr>
            <w:r>
              <w:rPr>
                <w:rFonts w:cs="Arial"/>
                <w:sz w:val="20"/>
                <w:szCs w:val="18"/>
              </w:rPr>
              <w:t>Until correctly decoded</w:t>
            </w:r>
          </w:p>
        </w:tc>
      </w:tr>
      <w:tr w:rsidR="002368D6" w:rsidRPr="008E311B" w14:paraId="4FB469F7" w14:textId="77777777" w:rsidTr="0001091F">
        <w:tc>
          <w:tcPr>
            <w:tcW w:w="1484" w:type="dxa"/>
            <w:vMerge/>
          </w:tcPr>
          <w:p w14:paraId="062C098A" w14:textId="77777777" w:rsidR="002368D6" w:rsidRPr="00CC75F4" w:rsidRDefault="002368D6" w:rsidP="0001091F">
            <w:pPr>
              <w:pStyle w:val="Reference"/>
              <w:numPr>
                <w:ilvl w:val="0"/>
                <w:numId w:val="0"/>
              </w:numPr>
              <w:rPr>
                <w:rFonts w:cs="Arial"/>
                <w:sz w:val="20"/>
                <w:szCs w:val="18"/>
                <w:lang w:val="sv-SE"/>
              </w:rPr>
            </w:pPr>
          </w:p>
        </w:tc>
        <w:tc>
          <w:tcPr>
            <w:tcW w:w="2384" w:type="dxa"/>
          </w:tcPr>
          <w:p w14:paraId="62769F57" w14:textId="77777777" w:rsidR="002368D6" w:rsidRPr="007B603C" w:rsidRDefault="002368D6" w:rsidP="0001091F">
            <w:pPr>
              <w:pStyle w:val="Reference"/>
              <w:numPr>
                <w:ilvl w:val="0"/>
                <w:numId w:val="0"/>
              </w:numPr>
              <w:rPr>
                <w:rFonts w:cs="Arial"/>
                <w:sz w:val="20"/>
                <w:szCs w:val="18"/>
                <w:lang w:val="sv-SE"/>
              </w:rPr>
            </w:pPr>
            <w:r w:rsidRPr="007B603C">
              <w:rPr>
                <w:rFonts w:cs="Arial"/>
                <w:sz w:val="20"/>
                <w:szCs w:val="18"/>
                <w:lang w:val="sv-SE"/>
              </w:rPr>
              <w:t>DMRS</w:t>
            </w:r>
          </w:p>
        </w:tc>
        <w:tc>
          <w:tcPr>
            <w:tcW w:w="5474" w:type="dxa"/>
          </w:tcPr>
          <w:p w14:paraId="7BCBACE3" w14:textId="77777777" w:rsidR="002368D6" w:rsidRPr="007B603C" w:rsidRDefault="002368D6" w:rsidP="0001091F">
            <w:pPr>
              <w:pStyle w:val="Reference"/>
              <w:numPr>
                <w:ilvl w:val="0"/>
                <w:numId w:val="0"/>
              </w:numPr>
              <w:rPr>
                <w:rFonts w:cs="Arial"/>
                <w:sz w:val="20"/>
                <w:szCs w:val="18"/>
              </w:rPr>
            </w:pPr>
            <w:r w:rsidRPr="007B603C">
              <w:rPr>
                <w:rFonts w:cs="Arial"/>
                <w:sz w:val="20"/>
                <w:szCs w:val="18"/>
              </w:rPr>
              <w:t>2 symbols</w:t>
            </w:r>
          </w:p>
        </w:tc>
      </w:tr>
      <w:tr w:rsidR="005E0FE6" w:rsidRPr="008E311B" w14:paraId="6CF73E92" w14:textId="77777777" w:rsidTr="0001091F">
        <w:tc>
          <w:tcPr>
            <w:tcW w:w="1484" w:type="dxa"/>
            <w:vMerge w:val="restart"/>
          </w:tcPr>
          <w:p w14:paraId="5751F8FA" w14:textId="77777777" w:rsidR="005E0FE6" w:rsidRPr="007B603C" w:rsidRDefault="005E0FE6" w:rsidP="0001091F">
            <w:pPr>
              <w:pStyle w:val="Reference"/>
              <w:numPr>
                <w:ilvl w:val="0"/>
                <w:numId w:val="0"/>
              </w:numPr>
              <w:rPr>
                <w:rFonts w:cs="Arial"/>
                <w:sz w:val="20"/>
                <w:szCs w:val="18"/>
                <w:lang w:val="es-ES"/>
              </w:rPr>
            </w:pPr>
            <w:r w:rsidRPr="007B603C">
              <w:rPr>
                <w:rFonts w:cs="Arial"/>
                <w:sz w:val="20"/>
                <w:szCs w:val="18"/>
                <w:lang w:val="es-ES"/>
              </w:rPr>
              <w:t>Channel access</w:t>
            </w:r>
          </w:p>
        </w:tc>
        <w:tc>
          <w:tcPr>
            <w:tcW w:w="2384" w:type="dxa"/>
          </w:tcPr>
          <w:p w14:paraId="7EC97D43" w14:textId="77777777" w:rsidR="005E0FE6" w:rsidRPr="007B603C" w:rsidRDefault="005E0FE6" w:rsidP="0001091F">
            <w:pPr>
              <w:pStyle w:val="Reference"/>
              <w:numPr>
                <w:ilvl w:val="0"/>
                <w:numId w:val="0"/>
              </w:numPr>
              <w:rPr>
                <w:rFonts w:cs="Arial"/>
                <w:sz w:val="20"/>
                <w:szCs w:val="18"/>
                <w:lang w:val="es-ES"/>
              </w:rPr>
            </w:pPr>
            <w:r w:rsidRPr="007B603C">
              <w:rPr>
                <w:rFonts w:cs="Arial"/>
                <w:sz w:val="20"/>
                <w:szCs w:val="18"/>
                <w:lang w:val="es-ES"/>
              </w:rPr>
              <w:t>PSCCH/PSSCH</w:t>
            </w:r>
          </w:p>
        </w:tc>
        <w:tc>
          <w:tcPr>
            <w:tcW w:w="5474" w:type="dxa"/>
          </w:tcPr>
          <w:p w14:paraId="12D76981" w14:textId="77777777" w:rsidR="005E0FE6" w:rsidRPr="007B603C" w:rsidRDefault="005E0FE6" w:rsidP="0001091F">
            <w:pPr>
              <w:pStyle w:val="Reference"/>
              <w:numPr>
                <w:ilvl w:val="0"/>
                <w:numId w:val="0"/>
              </w:numPr>
              <w:rPr>
                <w:rFonts w:cs="Arial"/>
                <w:sz w:val="20"/>
                <w:szCs w:val="18"/>
              </w:rPr>
            </w:pPr>
            <w:r w:rsidRPr="007B603C">
              <w:rPr>
                <w:rFonts w:cs="Arial"/>
                <w:sz w:val="20"/>
                <w:szCs w:val="18"/>
              </w:rPr>
              <w:t>LBT Type 1</w:t>
            </w:r>
          </w:p>
        </w:tc>
      </w:tr>
      <w:tr w:rsidR="005E0FE6" w:rsidRPr="008E311B" w14:paraId="7C3FD2BE" w14:textId="77777777" w:rsidTr="0001091F">
        <w:tc>
          <w:tcPr>
            <w:tcW w:w="1484" w:type="dxa"/>
            <w:vMerge/>
          </w:tcPr>
          <w:p w14:paraId="64285688" w14:textId="77777777" w:rsidR="005E0FE6" w:rsidRPr="007B603C" w:rsidRDefault="005E0FE6" w:rsidP="0001091F">
            <w:pPr>
              <w:pStyle w:val="Reference"/>
              <w:numPr>
                <w:ilvl w:val="0"/>
                <w:numId w:val="0"/>
              </w:numPr>
              <w:rPr>
                <w:rFonts w:cs="Arial"/>
                <w:sz w:val="20"/>
                <w:szCs w:val="18"/>
                <w:lang w:val="es-ES"/>
              </w:rPr>
            </w:pPr>
          </w:p>
        </w:tc>
        <w:tc>
          <w:tcPr>
            <w:tcW w:w="2384" w:type="dxa"/>
          </w:tcPr>
          <w:p w14:paraId="7A8C8408" w14:textId="77777777" w:rsidR="005E0FE6" w:rsidRPr="007B603C" w:rsidRDefault="005E0FE6" w:rsidP="0001091F">
            <w:pPr>
              <w:pStyle w:val="Reference"/>
              <w:numPr>
                <w:ilvl w:val="0"/>
                <w:numId w:val="0"/>
              </w:numPr>
              <w:rPr>
                <w:rFonts w:cs="Arial"/>
                <w:sz w:val="20"/>
                <w:szCs w:val="18"/>
                <w:lang w:val="es-ES"/>
              </w:rPr>
            </w:pPr>
            <w:r w:rsidRPr="007B603C">
              <w:rPr>
                <w:rFonts w:cs="Arial"/>
                <w:sz w:val="20"/>
                <w:szCs w:val="18"/>
                <w:lang w:val="es-ES"/>
              </w:rPr>
              <w:t>PSFCH</w:t>
            </w:r>
          </w:p>
        </w:tc>
        <w:tc>
          <w:tcPr>
            <w:tcW w:w="5474" w:type="dxa"/>
          </w:tcPr>
          <w:p w14:paraId="7BB224EF" w14:textId="76C950EB" w:rsidR="005E0FE6" w:rsidRPr="00F142FD" w:rsidRDefault="005E0FE6" w:rsidP="0001091F">
            <w:pPr>
              <w:pStyle w:val="Reference"/>
              <w:numPr>
                <w:ilvl w:val="0"/>
                <w:numId w:val="0"/>
              </w:numPr>
              <w:rPr>
                <w:rFonts w:cs="Arial"/>
                <w:sz w:val="20"/>
                <w:szCs w:val="18"/>
              </w:rPr>
            </w:pPr>
            <w:r>
              <w:rPr>
                <w:rFonts w:cs="Arial"/>
                <w:sz w:val="20"/>
                <w:szCs w:val="18"/>
              </w:rPr>
              <w:t>Ideal</w:t>
            </w:r>
          </w:p>
        </w:tc>
      </w:tr>
      <w:tr w:rsidR="005E0FE6" w:rsidRPr="008E311B" w14:paraId="32498E9F" w14:textId="77777777" w:rsidTr="0001091F">
        <w:tc>
          <w:tcPr>
            <w:tcW w:w="1484" w:type="dxa"/>
            <w:vMerge/>
          </w:tcPr>
          <w:p w14:paraId="3784AED9" w14:textId="77777777" w:rsidR="005E0FE6" w:rsidRPr="007B603C" w:rsidRDefault="005E0FE6" w:rsidP="0001091F">
            <w:pPr>
              <w:pStyle w:val="Reference"/>
              <w:numPr>
                <w:ilvl w:val="0"/>
                <w:numId w:val="0"/>
              </w:numPr>
              <w:rPr>
                <w:rFonts w:cs="Arial"/>
                <w:sz w:val="20"/>
                <w:szCs w:val="18"/>
                <w:lang w:val="es-ES"/>
              </w:rPr>
            </w:pPr>
          </w:p>
        </w:tc>
        <w:tc>
          <w:tcPr>
            <w:tcW w:w="2384" w:type="dxa"/>
          </w:tcPr>
          <w:p w14:paraId="78347CFE" w14:textId="77777777" w:rsidR="005E0FE6" w:rsidRPr="007B603C" w:rsidRDefault="005E0FE6" w:rsidP="0001091F">
            <w:pPr>
              <w:pStyle w:val="Reference"/>
              <w:numPr>
                <w:ilvl w:val="0"/>
                <w:numId w:val="0"/>
              </w:numPr>
              <w:rPr>
                <w:rFonts w:cs="Arial"/>
                <w:sz w:val="20"/>
                <w:szCs w:val="18"/>
                <w:lang w:val="es-ES"/>
              </w:rPr>
            </w:pPr>
            <w:r w:rsidRPr="007B603C">
              <w:rPr>
                <w:rFonts w:cs="Arial"/>
                <w:sz w:val="20"/>
                <w:szCs w:val="18"/>
                <w:lang w:val="es-ES"/>
              </w:rPr>
              <w:t>ED threshold</w:t>
            </w:r>
          </w:p>
        </w:tc>
        <w:tc>
          <w:tcPr>
            <w:tcW w:w="5474" w:type="dxa"/>
          </w:tcPr>
          <w:p w14:paraId="10AC0507" w14:textId="77777777" w:rsidR="005E0FE6" w:rsidRPr="007B603C" w:rsidRDefault="005E0FE6" w:rsidP="0001091F">
            <w:pPr>
              <w:pStyle w:val="Reference"/>
              <w:numPr>
                <w:ilvl w:val="0"/>
                <w:numId w:val="0"/>
              </w:numPr>
              <w:rPr>
                <w:rFonts w:cs="Arial"/>
                <w:sz w:val="20"/>
                <w:szCs w:val="18"/>
              </w:rPr>
            </w:pPr>
            <w:r w:rsidRPr="007B603C">
              <w:rPr>
                <w:rFonts w:cs="Arial"/>
                <w:sz w:val="20"/>
                <w:szCs w:val="18"/>
              </w:rPr>
              <w:t>-85 dBm/MHz</w:t>
            </w:r>
          </w:p>
        </w:tc>
      </w:tr>
      <w:tr w:rsidR="005E0FE6" w:rsidRPr="008E311B" w14:paraId="6C690EBF" w14:textId="77777777" w:rsidTr="0001091F">
        <w:tc>
          <w:tcPr>
            <w:tcW w:w="1484" w:type="dxa"/>
            <w:vMerge/>
          </w:tcPr>
          <w:p w14:paraId="071D0B5B" w14:textId="77777777" w:rsidR="005E0FE6" w:rsidRPr="007B603C" w:rsidRDefault="005E0FE6" w:rsidP="0001091F">
            <w:pPr>
              <w:pStyle w:val="Reference"/>
              <w:numPr>
                <w:ilvl w:val="0"/>
                <w:numId w:val="0"/>
              </w:numPr>
              <w:rPr>
                <w:rFonts w:cs="Arial"/>
                <w:szCs w:val="18"/>
                <w:lang w:val="es-ES"/>
              </w:rPr>
            </w:pPr>
          </w:p>
        </w:tc>
        <w:tc>
          <w:tcPr>
            <w:tcW w:w="2384" w:type="dxa"/>
          </w:tcPr>
          <w:p w14:paraId="00496726" w14:textId="08FD3D80" w:rsidR="005E0FE6" w:rsidRPr="00000335" w:rsidRDefault="009B7D2C" w:rsidP="0001091F">
            <w:pPr>
              <w:pStyle w:val="Reference"/>
              <w:numPr>
                <w:ilvl w:val="0"/>
                <w:numId w:val="0"/>
              </w:numPr>
              <w:rPr>
                <w:rFonts w:cs="Arial"/>
                <w:szCs w:val="18"/>
              </w:rPr>
            </w:pPr>
            <w:r>
              <w:rPr>
                <w:rFonts w:cs="Arial"/>
                <w:szCs w:val="18"/>
              </w:rPr>
              <w:t>CAPC</w:t>
            </w:r>
          </w:p>
        </w:tc>
        <w:tc>
          <w:tcPr>
            <w:tcW w:w="5474" w:type="dxa"/>
          </w:tcPr>
          <w:p w14:paraId="564C6CC3" w14:textId="77777777" w:rsidR="005E0FE6" w:rsidRDefault="00CB15D1" w:rsidP="0001091F">
            <w:pPr>
              <w:pStyle w:val="Reference"/>
              <w:numPr>
                <w:ilvl w:val="0"/>
                <w:numId w:val="0"/>
              </w:numPr>
              <w:rPr>
                <w:rFonts w:cs="Arial"/>
                <w:szCs w:val="18"/>
              </w:rPr>
            </w:pPr>
            <w:r>
              <w:rPr>
                <w:rFonts w:cs="Arial"/>
                <w:szCs w:val="18"/>
              </w:rPr>
              <w:t xml:space="preserve">DL </w:t>
            </w:r>
            <w:r w:rsidR="009B7D2C">
              <w:rPr>
                <w:rFonts w:cs="Arial"/>
                <w:szCs w:val="18"/>
              </w:rPr>
              <w:t>C</w:t>
            </w:r>
            <w:r w:rsidR="00951ABA">
              <w:rPr>
                <w:rFonts w:cs="Arial"/>
                <w:szCs w:val="18"/>
              </w:rPr>
              <w:t>lass 4 for data (SL &amp; Interferers)</w:t>
            </w:r>
          </w:p>
          <w:p w14:paraId="1B06BC0D" w14:textId="4FB8AD37" w:rsidR="00CB15D1" w:rsidRPr="009B7D2C" w:rsidRDefault="00CB15D1" w:rsidP="0001091F">
            <w:pPr>
              <w:pStyle w:val="Reference"/>
              <w:numPr>
                <w:ilvl w:val="0"/>
                <w:numId w:val="0"/>
              </w:numPr>
              <w:rPr>
                <w:rFonts w:cs="Arial"/>
                <w:szCs w:val="18"/>
              </w:rPr>
            </w:pPr>
            <w:r>
              <w:rPr>
                <w:rFonts w:cs="Arial"/>
                <w:szCs w:val="18"/>
              </w:rPr>
              <w:t xml:space="preserve">Parameters from </w:t>
            </w:r>
            <w:r w:rsidR="00717E9C">
              <w:rPr>
                <w:rFonts w:cs="Arial"/>
                <w:szCs w:val="18"/>
              </w:rPr>
              <w:t>agreed table.</w:t>
            </w:r>
          </w:p>
        </w:tc>
      </w:tr>
    </w:tbl>
    <w:p w14:paraId="0F290739" w14:textId="1FA38CA5" w:rsidR="00621115" w:rsidRPr="00FE708D" w:rsidRDefault="00621115" w:rsidP="00000335">
      <w:pPr>
        <w:pStyle w:val="Heading2"/>
      </w:pPr>
      <w:r>
        <w:t>A.3</w:t>
      </w:r>
    </w:p>
    <w:tbl>
      <w:tblPr>
        <w:tblStyle w:val="TableGrid"/>
        <w:tblW w:w="9342" w:type="dxa"/>
        <w:tblInd w:w="567" w:type="dxa"/>
        <w:tblLook w:val="04A0" w:firstRow="1" w:lastRow="0" w:firstColumn="1" w:lastColumn="0" w:noHBand="0" w:noVBand="1"/>
      </w:tblPr>
      <w:tblGrid>
        <w:gridCol w:w="1484"/>
        <w:gridCol w:w="2384"/>
        <w:gridCol w:w="5474"/>
      </w:tblGrid>
      <w:tr w:rsidR="00621115" w:rsidRPr="008E311B" w14:paraId="29424DAC" w14:textId="77777777" w:rsidTr="0001091F">
        <w:tc>
          <w:tcPr>
            <w:tcW w:w="3868" w:type="dxa"/>
            <w:gridSpan w:val="2"/>
          </w:tcPr>
          <w:p w14:paraId="3406BD9B" w14:textId="77777777" w:rsidR="00621115" w:rsidRPr="007B603C" w:rsidRDefault="00621115" w:rsidP="0001091F">
            <w:pPr>
              <w:pStyle w:val="Reference"/>
              <w:numPr>
                <w:ilvl w:val="0"/>
                <w:numId w:val="0"/>
              </w:numPr>
              <w:jc w:val="center"/>
              <w:rPr>
                <w:rFonts w:cs="Arial"/>
                <w:b/>
                <w:bCs/>
                <w:sz w:val="20"/>
                <w:szCs w:val="18"/>
              </w:rPr>
            </w:pPr>
            <w:r w:rsidRPr="007B603C">
              <w:rPr>
                <w:rFonts w:cs="Arial"/>
                <w:b/>
                <w:bCs/>
                <w:sz w:val="20"/>
                <w:szCs w:val="18"/>
              </w:rPr>
              <w:t>Parameter</w:t>
            </w:r>
          </w:p>
        </w:tc>
        <w:tc>
          <w:tcPr>
            <w:tcW w:w="5474" w:type="dxa"/>
          </w:tcPr>
          <w:p w14:paraId="01A4C5BB" w14:textId="77777777" w:rsidR="00621115" w:rsidRPr="007B603C" w:rsidRDefault="00621115" w:rsidP="0001091F">
            <w:pPr>
              <w:pStyle w:val="Reference"/>
              <w:numPr>
                <w:ilvl w:val="0"/>
                <w:numId w:val="0"/>
              </w:numPr>
              <w:jc w:val="center"/>
              <w:rPr>
                <w:rFonts w:cs="Arial"/>
                <w:b/>
                <w:bCs/>
                <w:sz w:val="20"/>
                <w:szCs w:val="18"/>
              </w:rPr>
            </w:pPr>
            <w:r w:rsidRPr="007B603C">
              <w:rPr>
                <w:rFonts w:cs="Arial"/>
                <w:b/>
                <w:bCs/>
                <w:sz w:val="20"/>
                <w:szCs w:val="18"/>
              </w:rPr>
              <w:t>Value</w:t>
            </w:r>
          </w:p>
        </w:tc>
      </w:tr>
      <w:tr w:rsidR="00621115" w:rsidRPr="008E311B" w14:paraId="14962402" w14:textId="77777777" w:rsidTr="0001091F">
        <w:tc>
          <w:tcPr>
            <w:tcW w:w="1484" w:type="dxa"/>
            <w:vMerge w:val="restart"/>
          </w:tcPr>
          <w:p w14:paraId="6FAA7A30" w14:textId="77777777" w:rsidR="00621115" w:rsidRPr="007B603C" w:rsidRDefault="00621115" w:rsidP="0001091F">
            <w:pPr>
              <w:pStyle w:val="Reference"/>
              <w:ind w:left="0"/>
              <w:rPr>
                <w:rFonts w:cs="Arial"/>
                <w:sz w:val="20"/>
                <w:szCs w:val="18"/>
              </w:rPr>
            </w:pPr>
            <w:r w:rsidRPr="007B603C">
              <w:rPr>
                <w:rFonts w:cs="Arial"/>
                <w:sz w:val="20"/>
                <w:szCs w:val="18"/>
              </w:rPr>
              <w:t>Deployment</w:t>
            </w:r>
          </w:p>
        </w:tc>
        <w:tc>
          <w:tcPr>
            <w:tcW w:w="2384" w:type="dxa"/>
          </w:tcPr>
          <w:p w14:paraId="7A1E880F"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Model</w:t>
            </w:r>
          </w:p>
        </w:tc>
        <w:tc>
          <w:tcPr>
            <w:tcW w:w="5474" w:type="dxa"/>
          </w:tcPr>
          <w:p w14:paraId="005694C6"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NR InH mixed office model</w:t>
            </w:r>
          </w:p>
        </w:tc>
      </w:tr>
      <w:tr w:rsidR="00621115" w:rsidRPr="008E311B" w14:paraId="066B5210" w14:textId="77777777" w:rsidTr="0001091F">
        <w:tc>
          <w:tcPr>
            <w:tcW w:w="1484" w:type="dxa"/>
            <w:vMerge/>
          </w:tcPr>
          <w:p w14:paraId="5EF01D6B" w14:textId="77777777" w:rsidR="00621115" w:rsidRPr="007B603C" w:rsidRDefault="00621115" w:rsidP="0001091F">
            <w:pPr>
              <w:pStyle w:val="Reference"/>
              <w:numPr>
                <w:ilvl w:val="0"/>
                <w:numId w:val="0"/>
              </w:numPr>
              <w:rPr>
                <w:rFonts w:cs="Arial"/>
                <w:sz w:val="20"/>
                <w:szCs w:val="18"/>
              </w:rPr>
            </w:pPr>
          </w:p>
        </w:tc>
        <w:tc>
          <w:tcPr>
            <w:tcW w:w="2384" w:type="dxa"/>
          </w:tcPr>
          <w:p w14:paraId="3CA57F06"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Number of UEs</w:t>
            </w:r>
          </w:p>
        </w:tc>
        <w:tc>
          <w:tcPr>
            <w:tcW w:w="5474" w:type="dxa"/>
          </w:tcPr>
          <w:p w14:paraId="3406DD7A"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10 (5 pairs)</w:t>
            </w:r>
          </w:p>
        </w:tc>
      </w:tr>
      <w:tr w:rsidR="00621115" w:rsidRPr="008E311B" w14:paraId="3B4A758F" w14:textId="77777777" w:rsidTr="0001091F">
        <w:tc>
          <w:tcPr>
            <w:tcW w:w="1484" w:type="dxa"/>
            <w:vMerge/>
          </w:tcPr>
          <w:p w14:paraId="5E37E0E4" w14:textId="77777777" w:rsidR="00621115" w:rsidRPr="007B603C" w:rsidRDefault="00621115" w:rsidP="0001091F">
            <w:pPr>
              <w:pStyle w:val="Reference"/>
              <w:numPr>
                <w:ilvl w:val="0"/>
                <w:numId w:val="0"/>
              </w:numPr>
              <w:rPr>
                <w:rFonts w:cs="Arial"/>
                <w:sz w:val="20"/>
                <w:szCs w:val="18"/>
              </w:rPr>
            </w:pPr>
          </w:p>
        </w:tc>
        <w:tc>
          <w:tcPr>
            <w:tcW w:w="2384" w:type="dxa"/>
          </w:tcPr>
          <w:p w14:paraId="20BB63B2"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Number of interferers</w:t>
            </w:r>
          </w:p>
        </w:tc>
        <w:tc>
          <w:tcPr>
            <w:tcW w:w="5474" w:type="dxa"/>
          </w:tcPr>
          <w:p w14:paraId="4FEC6779"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10 (WiFi)</w:t>
            </w:r>
          </w:p>
        </w:tc>
      </w:tr>
      <w:tr w:rsidR="00621115" w:rsidRPr="008E311B" w14:paraId="70B40AEF" w14:textId="77777777" w:rsidTr="0001091F">
        <w:tc>
          <w:tcPr>
            <w:tcW w:w="1484" w:type="dxa"/>
            <w:vMerge w:val="restart"/>
          </w:tcPr>
          <w:p w14:paraId="328CB84E"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Traffic model</w:t>
            </w:r>
          </w:p>
        </w:tc>
        <w:tc>
          <w:tcPr>
            <w:tcW w:w="2384" w:type="dxa"/>
          </w:tcPr>
          <w:p w14:paraId="5B875B81"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UEs</w:t>
            </w:r>
          </w:p>
        </w:tc>
        <w:tc>
          <w:tcPr>
            <w:tcW w:w="5474" w:type="dxa"/>
          </w:tcPr>
          <w:p w14:paraId="72CE5587" w14:textId="77777777" w:rsidR="00621115" w:rsidRPr="00F87A7E" w:rsidRDefault="00621115" w:rsidP="0001091F">
            <w:pPr>
              <w:pStyle w:val="Reference"/>
              <w:numPr>
                <w:ilvl w:val="0"/>
                <w:numId w:val="0"/>
              </w:numPr>
              <w:rPr>
                <w:rFonts w:cs="Arial"/>
                <w:sz w:val="20"/>
                <w:szCs w:val="18"/>
              </w:rPr>
            </w:pPr>
            <w:r>
              <w:rPr>
                <w:rFonts w:cs="Arial"/>
                <w:sz w:val="20"/>
                <w:szCs w:val="18"/>
              </w:rPr>
              <w:t>FTP Model 3 with varying offered load</w:t>
            </w:r>
          </w:p>
        </w:tc>
      </w:tr>
      <w:tr w:rsidR="00621115" w:rsidRPr="008E311B" w14:paraId="1D40CAC9" w14:textId="77777777" w:rsidTr="0001091F">
        <w:tc>
          <w:tcPr>
            <w:tcW w:w="1484" w:type="dxa"/>
            <w:vMerge/>
          </w:tcPr>
          <w:p w14:paraId="46146C6F" w14:textId="77777777" w:rsidR="00621115" w:rsidRPr="007B603C" w:rsidRDefault="00621115" w:rsidP="0001091F">
            <w:pPr>
              <w:pStyle w:val="Reference"/>
              <w:numPr>
                <w:ilvl w:val="0"/>
                <w:numId w:val="0"/>
              </w:numPr>
              <w:rPr>
                <w:rFonts w:cs="Arial"/>
                <w:sz w:val="20"/>
                <w:szCs w:val="18"/>
              </w:rPr>
            </w:pPr>
          </w:p>
        </w:tc>
        <w:tc>
          <w:tcPr>
            <w:tcW w:w="2384" w:type="dxa"/>
          </w:tcPr>
          <w:p w14:paraId="1890B0AC"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Interferers</w:t>
            </w:r>
          </w:p>
        </w:tc>
        <w:tc>
          <w:tcPr>
            <w:tcW w:w="5474" w:type="dxa"/>
          </w:tcPr>
          <w:p w14:paraId="01D681DE" w14:textId="77777777" w:rsidR="00621115" w:rsidRPr="007B603C" w:rsidRDefault="00621115" w:rsidP="0001091F">
            <w:pPr>
              <w:pStyle w:val="Reference"/>
              <w:numPr>
                <w:ilvl w:val="0"/>
                <w:numId w:val="0"/>
              </w:numPr>
              <w:rPr>
                <w:rFonts w:cs="Arial"/>
                <w:sz w:val="20"/>
                <w:szCs w:val="18"/>
              </w:rPr>
            </w:pPr>
            <w:r>
              <w:rPr>
                <w:rFonts w:cs="Arial"/>
                <w:sz w:val="20"/>
                <w:szCs w:val="18"/>
              </w:rPr>
              <w:t>FTP Model 3 with varying offered load</w:t>
            </w:r>
          </w:p>
        </w:tc>
      </w:tr>
      <w:tr w:rsidR="00621115" w:rsidRPr="008E311B" w14:paraId="7808E0C9" w14:textId="77777777" w:rsidTr="0001091F">
        <w:tc>
          <w:tcPr>
            <w:tcW w:w="1484" w:type="dxa"/>
            <w:vMerge/>
          </w:tcPr>
          <w:p w14:paraId="59B05025" w14:textId="77777777" w:rsidR="00621115" w:rsidRPr="007B603C" w:rsidRDefault="00621115" w:rsidP="0001091F">
            <w:pPr>
              <w:pStyle w:val="Reference"/>
              <w:numPr>
                <w:ilvl w:val="0"/>
                <w:numId w:val="0"/>
              </w:numPr>
              <w:rPr>
                <w:rFonts w:cs="Arial"/>
                <w:sz w:val="20"/>
                <w:szCs w:val="18"/>
              </w:rPr>
            </w:pPr>
          </w:p>
        </w:tc>
        <w:tc>
          <w:tcPr>
            <w:tcW w:w="2384" w:type="dxa"/>
          </w:tcPr>
          <w:p w14:paraId="5BFF8517"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Cast mode</w:t>
            </w:r>
          </w:p>
        </w:tc>
        <w:tc>
          <w:tcPr>
            <w:tcW w:w="5474" w:type="dxa"/>
          </w:tcPr>
          <w:p w14:paraId="74A1A18A" w14:textId="77777777" w:rsidR="00621115" w:rsidRDefault="00621115" w:rsidP="0001091F">
            <w:pPr>
              <w:pStyle w:val="Reference"/>
              <w:numPr>
                <w:ilvl w:val="0"/>
                <w:numId w:val="0"/>
              </w:numPr>
              <w:rPr>
                <w:rFonts w:cs="Arial"/>
                <w:sz w:val="20"/>
                <w:szCs w:val="18"/>
              </w:rPr>
            </w:pPr>
            <w:r w:rsidRPr="007B603C">
              <w:rPr>
                <w:rFonts w:cs="Arial"/>
                <w:sz w:val="20"/>
                <w:szCs w:val="18"/>
              </w:rPr>
              <w:t>Unicast</w:t>
            </w:r>
          </w:p>
          <w:p w14:paraId="77BF1155" w14:textId="77777777" w:rsidR="00621115" w:rsidRPr="00F52278" w:rsidRDefault="00621115" w:rsidP="0001091F">
            <w:pPr>
              <w:pStyle w:val="Reference"/>
              <w:numPr>
                <w:ilvl w:val="0"/>
                <w:numId w:val="0"/>
              </w:numPr>
              <w:rPr>
                <w:rFonts w:cs="Arial"/>
                <w:sz w:val="20"/>
                <w:szCs w:val="18"/>
              </w:rPr>
            </w:pPr>
            <w:r>
              <w:rPr>
                <w:rFonts w:cs="Arial"/>
                <w:sz w:val="20"/>
                <w:szCs w:val="18"/>
              </w:rPr>
              <w:t>Pairing: TX-RX separated by 10 m, at a random angle</w:t>
            </w:r>
          </w:p>
        </w:tc>
      </w:tr>
      <w:tr w:rsidR="00621115" w:rsidRPr="008E311B" w14:paraId="3694452E" w14:textId="77777777" w:rsidTr="0001091F">
        <w:tc>
          <w:tcPr>
            <w:tcW w:w="1484" w:type="dxa"/>
            <w:vMerge w:val="restart"/>
          </w:tcPr>
          <w:p w14:paraId="07A4896A"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Channel</w:t>
            </w:r>
          </w:p>
        </w:tc>
        <w:tc>
          <w:tcPr>
            <w:tcW w:w="2384" w:type="dxa"/>
          </w:tcPr>
          <w:p w14:paraId="4E386DDD"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Frequency</w:t>
            </w:r>
          </w:p>
        </w:tc>
        <w:tc>
          <w:tcPr>
            <w:tcW w:w="5474" w:type="dxa"/>
          </w:tcPr>
          <w:p w14:paraId="65DBA6A0"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5</w:t>
            </w:r>
            <w:r>
              <w:rPr>
                <w:rFonts w:cs="Arial"/>
                <w:sz w:val="20"/>
                <w:szCs w:val="18"/>
              </w:rPr>
              <w:t>.2</w:t>
            </w:r>
            <w:r w:rsidRPr="007B603C">
              <w:rPr>
                <w:rFonts w:cs="Arial"/>
                <w:sz w:val="20"/>
                <w:szCs w:val="18"/>
              </w:rPr>
              <w:t xml:space="preserve"> GHz</w:t>
            </w:r>
          </w:p>
        </w:tc>
      </w:tr>
      <w:tr w:rsidR="00621115" w:rsidRPr="008E311B" w14:paraId="569CB1A6" w14:textId="77777777" w:rsidTr="0001091F">
        <w:tc>
          <w:tcPr>
            <w:tcW w:w="1484" w:type="dxa"/>
            <w:vMerge/>
          </w:tcPr>
          <w:p w14:paraId="712ED59E" w14:textId="77777777" w:rsidR="00621115" w:rsidRPr="007B603C" w:rsidRDefault="00621115" w:rsidP="0001091F">
            <w:pPr>
              <w:pStyle w:val="Reference"/>
              <w:numPr>
                <w:ilvl w:val="0"/>
                <w:numId w:val="0"/>
              </w:numPr>
              <w:rPr>
                <w:rFonts w:cs="Arial"/>
                <w:sz w:val="20"/>
                <w:szCs w:val="18"/>
              </w:rPr>
            </w:pPr>
          </w:p>
        </w:tc>
        <w:tc>
          <w:tcPr>
            <w:tcW w:w="2384" w:type="dxa"/>
          </w:tcPr>
          <w:p w14:paraId="2CC5FB6C"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Bandwidth</w:t>
            </w:r>
          </w:p>
        </w:tc>
        <w:tc>
          <w:tcPr>
            <w:tcW w:w="5474" w:type="dxa"/>
          </w:tcPr>
          <w:p w14:paraId="424B1CCD"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 xml:space="preserve">1 carrier, </w:t>
            </w:r>
            <w:r w:rsidRPr="007B603C">
              <w:rPr>
                <w:rFonts w:cs="Arial"/>
                <w:sz w:val="20"/>
                <w:szCs w:val="18"/>
              </w:rPr>
              <w:t>20 MHz</w:t>
            </w:r>
          </w:p>
        </w:tc>
      </w:tr>
      <w:tr w:rsidR="00621115" w:rsidRPr="008E311B" w14:paraId="78AFB0A6" w14:textId="77777777" w:rsidTr="0001091F">
        <w:tc>
          <w:tcPr>
            <w:tcW w:w="1484" w:type="dxa"/>
            <w:vMerge/>
          </w:tcPr>
          <w:p w14:paraId="54580A97" w14:textId="77777777" w:rsidR="00621115" w:rsidRPr="007B603C" w:rsidRDefault="00621115" w:rsidP="0001091F">
            <w:pPr>
              <w:pStyle w:val="Reference"/>
              <w:numPr>
                <w:ilvl w:val="0"/>
                <w:numId w:val="0"/>
              </w:numPr>
              <w:rPr>
                <w:rFonts w:cs="Arial"/>
                <w:sz w:val="20"/>
                <w:szCs w:val="18"/>
              </w:rPr>
            </w:pPr>
          </w:p>
        </w:tc>
        <w:tc>
          <w:tcPr>
            <w:tcW w:w="2384" w:type="dxa"/>
          </w:tcPr>
          <w:p w14:paraId="509B222A"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 xml:space="preserve">Model </w:t>
            </w:r>
          </w:p>
        </w:tc>
        <w:tc>
          <w:tcPr>
            <w:tcW w:w="5474" w:type="dxa"/>
          </w:tcPr>
          <w:p w14:paraId="6A7A80E5"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InH office pathloss model with proper d_3D with indoor mixed office LOS probability</w:t>
            </w:r>
          </w:p>
        </w:tc>
      </w:tr>
      <w:tr w:rsidR="00621115" w:rsidRPr="008E311B" w14:paraId="59F4AACB" w14:textId="77777777" w:rsidTr="0001091F">
        <w:tc>
          <w:tcPr>
            <w:tcW w:w="1484" w:type="dxa"/>
            <w:vMerge w:val="restart"/>
          </w:tcPr>
          <w:p w14:paraId="0718B9E2"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BWP / pool config</w:t>
            </w:r>
          </w:p>
        </w:tc>
        <w:tc>
          <w:tcPr>
            <w:tcW w:w="2384" w:type="dxa"/>
          </w:tcPr>
          <w:p w14:paraId="5A9FC407"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SCS</w:t>
            </w:r>
          </w:p>
        </w:tc>
        <w:tc>
          <w:tcPr>
            <w:tcW w:w="5474" w:type="dxa"/>
          </w:tcPr>
          <w:p w14:paraId="3E3031D6"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30 kHz / 51 RBs</w:t>
            </w:r>
          </w:p>
        </w:tc>
      </w:tr>
      <w:tr w:rsidR="00621115" w:rsidRPr="008E311B" w14:paraId="18E82773" w14:textId="77777777" w:rsidTr="0001091F">
        <w:tc>
          <w:tcPr>
            <w:tcW w:w="1484" w:type="dxa"/>
            <w:vMerge/>
          </w:tcPr>
          <w:p w14:paraId="1A491599" w14:textId="77777777" w:rsidR="00621115" w:rsidRPr="007B603C" w:rsidRDefault="00621115" w:rsidP="0001091F">
            <w:pPr>
              <w:pStyle w:val="Reference"/>
              <w:numPr>
                <w:ilvl w:val="0"/>
                <w:numId w:val="0"/>
              </w:numPr>
              <w:rPr>
                <w:rFonts w:cs="Arial"/>
                <w:sz w:val="20"/>
                <w:szCs w:val="18"/>
              </w:rPr>
            </w:pPr>
          </w:p>
        </w:tc>
        <w:tc>
          <w:tcPr>
            <w:tcW w:w="2384" w:type="dxa"/>
          </w:tcPr>
          <w:p w14:paraId="00CE5EFC"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rPr>
              <w:t>#S</w:t>
            </w:r>
            <w:r w:rsidRPr="007B603C">
              <w:rPr>
                <w:rFonts w:cs="Arial"/>
                <w:sz w:val="20"/>
                <w:szCs w:val="18"/>
                <w:lang w:val="es-ES"/>
              </w:rPr>
              <w:t>ubchannels</w:t>
            </w:r>
          </w:p>
        </w:tc>
        <w:tc>
          <w:tcPr>
            <w:tcW w:w="5474" w:type="dxa"/>
          </w:tcPr>
          <w:p w14:paraId="081E9934"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4 (12 RBs)</w:t>
            </w:r>
          </w:p>
        </w:tc>
      </w:tr>
      <w:tr w:rsidR="00621115" w:rsidRPr="008E311B" w14:paraId="6AFA7E7E" w14:textId="77777777" w:rsidTr="0001091F">
        <w:tc>
          <w:tcPr>
            <w:tcW w:w="1484" w:type="dxa"/>
            <w:vMerge/>
          </w:tcPr>
          <w:p w14:paraId="1D3E37AA" w14:textId="77777777" w:rsidR="00621115" w:rsidRPr="007B603C" w:rsidRDefault="00621115" w:rsidP="0001091F">
            <w:pPr>
              <w:pStyle w:val="Reference"/>
              <w:numPr>
                <w:ilvl w:val="0"/>
                <w:numId w:val="0"/>
              </w:numPr>
              <w:rPr>
                <w:rFonts w:cs="Arial"/>
                <w:sz w:val="20"/>
                <w:szCs w:val="18"/>
              </w:rPr>
            </w:pPr>
          </w:p>
        </w:tc>
        <w:tc>
          <w:tcPr>
            <w:tcW w:w="2384" w:type="dxa"/>
          </w:tcPr>
          <w:p w14:paraId="76EA3E86"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PSFCH periodicity</w:t>
            </w:r>
          </w:p>
        </w:tc>
        <w:tc>
          <w:tcPr>
            <w:tcW w:w="5474" w:type="dxa"/>
          </w:tcPr>
          <w:p w14:paraId="136D80FF"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1 slot</w:t>
            </w:r>
          </w:p>
        </w:tc>
      </w:tr>
      <w:tr w:rsidR="008134AB" w:rsidRPr="008E311B" w14:paraId="29084386" w14:textId="77777777" w:rsidTr="0001091F">
        <w:tc>
          <w:tcPr>
            <w:tcW w:w="1484" w:type="dxa"/>
            <w:vMerge w:val="restart"/>
          </w:tcPr>
          <w:p w14:paraId="26D38908" w14:textId="77777777" w:rsidR="008134AB" w:rsidRPr="007B603C" w:rsidRDefault="008134AB" w:rsidP="0001091F">
            <w:pPr>
              <w:pStyle w:val="Reference"/>
              <w:numPr>
                <w:ilvl w:val="0"/>
                <w:numId w:val="0"/>
              </w:numPr>
              <w:rPr>
                <w:rFonts w:cs="Arial"/>
                <w:sz w:val="20"/>
                <w:szCs w:val="18"/>
                <w:lang w:val="es-ES"/>
              </w:rPr>
            </w:pPr>
            <w:r w:rsidRPr="007B603C">
              <w:rPr>
                <w:rFonts w:cs="Arial"/>
                <w:sz w:val="20"/>
                <w:szCs w:val="18"/>
                <w:lang w:val="es-ES"/>
              </w:rPr>
              <w:t>TX parameters</w:t>
            </w:r>
          </w:p>
        </w:tc>
        <w:tc>
          <w:tcPr>
            <w:tcW w:w="2384" w:type="dxa"/>
          </w:tcPr>
          <w:p w14:paraId="1C3CC90E" w14:textId="77777777" w:rsidR="008134AB" w:rsidRPr="007B603C" w:rsidRDefault="008134AB" w:rsidP="0001091F">
            <w:pPr>
              <w:pStyle w:val="Reference"/>
              <w:numPr>
                <w:ilvl w:val="0"/>
                <w:numId w:val="0"/>
              </w:numPr>
              <w:rPr>
                <w:rFonts w:cs="Arial"/>
                <w:sz w:val="20"/>
                <w:szCs w:val="18"/>
                <w:lang w:val="sv-SE"/>
              </w:rPr>
            </w:pPr>
            <w:r w:rsidRPr="007B603C">
              <w:rPr>
                <w:rFonts w:cs="Arial"/>
                <w:sz w:val="20"/>
                <w:szCs w:val="18"/>
              </w:rPr>
              <w:t>#T</w:t>
            </w:r>
            <w:r w:rsidRPr="007B603C">
              <w:rPr>
                <w:rFonts w:cs="Arial"/>
                <w:sz w:val="20"/>
                <w:szCs w:val="18"/>
                <w:lang w:val="sv-SE"/>
              </w:rPr>
              <w:t>ransmissions per TB</w:t>
            </w:r>
          </w:p>
        </w:tc>
        <w:tc>
          <w:tcPr>
            <w:tcW w:w="5474" w:type="dxa"/>
          </w:tcPr>
          <w:p w14:paraId="62F9ED0F" w14:textId="77777777" w:rsidR="008134AB" w:rsidRPr="007B603C" w:rsidRDefault="008134AB" w:rsidP="0001091F">
            <w:pPr>
              <w:pStyle w:val="Reference"/>
              <w:numPr>
                <w:ilvl w:val="0"/>
                <w:numId w:val="0"/>
              </w:numPr>
              <w:rPr>
                <w:rFonts w:cs="Arial"/>
                <w:sz w:val="20"/>
                <w:szCs w:val="18"/>
              </w:rPr>
            </w:pPr>
            <w:r>
              <w:rPr>
                <w:rFonts w:cs="Arial"/>
                <w:sz w:val="20"/>
                <w:szCs w:val="18"/>
              </w:rPr>
              <w:t>Until correctly decoded</w:t>
            </w:r>
          </w:p>
        </w:tc>
      </w:tr>
      <w:tr w:rsidR="008134AB" w:rsidRPr="008E311B" w14:paraId="3F02A1FB" w14:textId="77777777" w:rsidTr="0001091F">
        <w:tc>
          <w:tcPr>
            <w:tcW w:w="1484" w:type="dxa"/>
            <w:vMerge/>
          </w:tcPr>
          <w:p w14:paraId="3D1334CF" w14:textId="77777777" w:rsidR="008134AB" w:rsidRPr="00CC75F4" w:rsidRDefault="008134AB" w:rsidP="0001091F">
            <w:pPr>
              <w:pStyle w:val="Reference"/>
              <w:numPr>
                <w:ilvl w:val="0"/>
                <w:numId w:val="0"/>
              </w:numPr>
              <w:rPr>
                <w:rFonts w:cs="Arial"/>
                <w:sz w:val="20"/>
                <w:szCs w:val="18"/>
                <w:lang w:val="sv-SE"/>
              </w:rPr>
            </w:pPr>
          </w:p>
        </w:tc>
        <w:tc>
          <w:tcPr>
            <w:tcW w:w="2384" w:type="dxa"/>
          </w:tcPr>
          <w:p w14:paraId="24DDCDD4" w14:textId="77777777" w:rsidR="008134AB" w:rsidRPr="007B603C" w:rsidRDefault="008134AB" w:rsidP="0001091F">
            <w:pPr>
              <w:pStyle w:val="Reference"/>
              <w:numPr>
                <w:ilvl w:val="0"/>
                <w:numId w:val="0"/>
              </w:numPr>
              <w:rPr>
                <w:rFonts w:cs="Arial"/>
                <w:sz w:val="20"/>
                <w:szCs w:val="18"/>
                <w:lang w:val="sv-SE"/>
              </w:rPr>
            </w:pPr>
            <w:r w:rsidRPr="007B603C">
              <w:rPr>
                <w:rFonts w:cs="Arial"/>
                <w:sz w:val="20"/>
                <w:szCs w:val="18"/>
                <w:lang w:val="sv-SE"/>
              </w:rPr>
              <w:t>DMRS</w:t>
            </w:r>
          </w:p>
        </w:tc>
        <w:tc>
          <w:tcPr>
            <w:tcW w:w="5474" w:type="dxa"/>
          </w:tcPr>
          <w:p w14:paraId="6C2E15AE" w14:textId="77777777" w:rsidR="008134AB" w:rsidRPr="007B603C" w:rsidRDefault="008134AB" w:rsidP="0001091F">
            <w:pPr>
              <w:pStyle w:val="Reference"/>
              <w:numPr>
                <w:ilvl w:val="0"/>
                <w:numId w:val="0"/>
              </w:numPr>
              <w:rPr>
                <w:rFonts w:cs="Arial"/>
                <w:sz w:val="20"/>
                <w:szCs w:val="18"/>
              </w:rPr>
            </w:pPr>
            <w:r w:rsidRPr="007B603C">
              <w:rPr>
                <w:rFonts w:cs="Arial"/>
                <w:sz w:val="20"/>
                <w:szCs w:val="18"/>
              </w:rPr>
              <w:t>2 symbols</w:t>
            </w:r>
          </w:p>
        </w:tc>
      </w:tr>
      <w:tr w:rsidR="008134AB" w:rsidRPr="008E311B" w14:paraId="3D8F5EE1" w14:textId="77777777" w:rsidTr="0001091F">
        <w:tc>
          <w:tcPr>
            <w:tcW w:w="1484" w:type="dxa"/>
            <w:vMerge/>
          </w:tcPr>
          <w:p w14:paraId="7AB21C3E" w14:textId="77777777" w:rsidR="008134AB" w:rsidRPr="00CC75F4" w:rsidRDefault="008134AB" w:rsidP="0001091F">
            <w:pPr>
              <w:pStyle w:val="Reference"/>
              <w:numPr>
                <w:ilvl w:val="0"/>
                <w:numId w:val="0"/>
              </w:numPr>
              <w:rPr>
                <w:rFonts w:cs="Arial"/>
                <w:szCs w:val="18"/>
                <w:lang w:val="sv-SE"/>
              </w:rPr>
            </w:pPr>
          </w:p>
        </w:tc>
        <w:tc>
          <w:tcPr>
            <w:tcW w:w="2384" w:type="dxa"/>
          </w:tcPr>
          <w:p w14:paraId="1DF25F47" w14:textId="4950DCF5" w:rsidR="008134AB" w:rsidRPr="00000335" w:rsidRDefault="008134AB" w:rsidP="0001091F">
            <w:pPr>
              <w:pStyle w:val="Reference"/>
              <w:numPr>
                <w:ilvl w:val="0"/>
                <w:numId w:val="0"/>
              </w:numPr>
              <w:rPr>
                <w:rFonts w:cs="Arial"/>
                <w:szCs w:val="18"/>
              </w:rPr>
            </w:pPr>
            <w:r>
              <w:rPr>
                <w:rFonts w:cs="Arial"/>
                <w:szCs w:val="18"/>
              </w:rPr>
              <w:t>MCSt</w:t>
            </w:r>
          </w:p>
        </w:tc>
        <w:tc>
          <w:tcPr>
            <w:tcW w:w="5474" w:type="dxa"/>
          </w:tcPr>
          <w:p w14:paraId="763DD7DE" w14:textId="0088F75A" w:rsidR="008134AB" w:rsidRPr="008134AB" w:rsidRDefault="008134AB" w:rsidP="0001091F">
            <w:pPr>
              <w:pStyle w:val="Reference"/>
              <w:numPr>
                <w:ilvl w:val="0"/>
                <w:numId w:val="0"/>
              </w:numPr>
              <w:rPr>
                <w:rFonts w:cs="Arial"/>
                <w:szCs w:val="18"/>
              </w:rPr>
            </w:pPr>
            <w:r>
              <w:rPr>
                <w:rFonts w:cs="Arial"/>
                <w:szCs w:val="18"/>
              </w:rPr>
              <w:t>Up to 10 slots</w:t>
            </w:r>
          </w:p>
        </w:tc>
      </w:tr>
      <w:tr w:rsidR="00621115" w:rsidRPr="008E311B" w14:paraId="7F1D9AAA" w14:textId="77777777" w:rsidTr="0001091F">
        <w:tc>
          <w:tcPr>
            <w:tcW w:w="1484" w:type="dxa"/>
            <w:vMerge w:val="restart"/>
          </w:tcPr>
          <w:p w14:paraId="630CF811"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Channel access</w:t>
            </w:r>
          </w:p>
        </w:tc>
        <w:tc>
          <w:tcPr>
            <w:tcW w:w="2384" w:type="dxa"/>
          </w:tcPr>
          <w:p w14:paraId="039594DF"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PSCCH/PSSCH</w:t>
            </w:r>
          </w:p>
        </w:tc>
        <w:tc>
          <w:tcPr>
            <w:tcW w:w="5474" w:type="dxa"/>
          </w:tcPr>
          <w:p w14:paraId="1C7CE9AF"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LBT Type 1</w:t>
            </w:r>
          </w:p>
        </w:tc>
      </w:tr>
      <w:tr w:rsidR="00621115" w:rsidRPr="008E311B" w14:paraId="35E2EFA3" w14:textId="77777777" w:rsidTr="0001091F">
        <w:tc>
          <w:tcPr>
            <w:tcW w:w="1484" w:type="dxa"/>
            <w:vMerge/>
          </w:tcPr>
          <w:p w14:paraId="2DC35F86" w14:textId="77777777" w:rsidR="00621115" w:rsidRPr="007B603C" w:rsidRDefault="00621115" w:rsidP="0001091F">
            <w:pPr>
              <w:pStyle w:val="Reference"/>
              <w:numPr>
                <w:ilvl w:val="0"/>
                <w:numId w:val="0"/>
              </w:numPr>
              <w:rPr>
                <w:rFonts w:cs="Arial"/>
                <w:sz w:val="20"/>
                <w:szCs w:val="18"/>
                <w:lang w:val="es-ES"/>
              </w:rPr>
            </w:pPr>
          </w:p>
        </w:tc>
        <w:tc>
          <w:tcPr>
            <w:tcW w:w="2384" w:type="dxa"/>
          </w:tcPr>
          <w:p w14:paraId="3B346395"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PSFCH</w:t>
            </w:r>
          </w:p>
        </w:tc>
        <w:tc>
          <w:tcPr>
            <w:tcW w:w="5474" w:type="dxa"/>
          </w:tcPr>
          <w:p w14:paraId="63DD250A" w14:textId="1C9F0302" w:rsidR="00621115" w:rsidRPr="00621115" w:rsidRDefault="00621115" w:rsidP="0001091F">
            <w:pPr>
              <w:pStyle w:val="Reference"/>
              <w:numPr>
                <w:ilvl w:val="0"/>
                <w:numId w:val="0"/>
              </w:numPr>
              <w:rPr>
                <w:rFonts w:cs="Arial"/>
                <w:sz w:val="20"/>
                <w:szCs w:val="18"/>
              </w:rPr>
            </w:pPr>
            <w:r>
              <w:rPr>
                <w:rFonts w:cs="Arial"/>
                <w:sz w:val="20"/>
                <w:szCs w:val="18"/>
              </w:rPr>
              <w:t>LBT Type 2</w:t>
            </w:r>
          </w:p>
        </w:tc>
      </w:tr>
      <w:tr w:rsidR="00621115" w:rsidRPr="008E311B" w14:paraId="19339182" w14:textId="77777777" w:rsidTr="0001091F">
        <w:tc>
          <w:tcPr>
            <w:tcW w:w="1484" w:type="dxa"/>
            <w:vMerge/>
          </w:tcPr>
          <w:p w14:paraId="5E10157B" w14:textId="77777777" w:rsidR="00621115" w:rsidRPr="007B603C" w:rsidRDefault="00621115" w:rsidP="0001091F">
            <w:pPr>
              <w:pStyle w:val="Reference"/>
              <w:numPr>
                <w:ilvl w:val="0"/>
                <w:numId w:val="0"/>
              </w:numPr>
              <w:rPr>
                <w:rFonts w:cs="Arial"/>
                <w:sz w:val="20"/>
                <w:szCs w:val="18"/>
                <w:lang w:val="es-ES"/>
              </w:rPr>
            </w:pPr>
          </w:p>
        </w:tc>
        <w:tc>
          <w:tcPr>
            <w:tcW w:w="2384" w:type="dxa"/>
          </w:tcPr>
          <w:p w14:paraId="2A1504A6" w14:textId="77777777" w:rsidR="00621115" w:rsidRPr="007B603C" w:rsidRDefault="00621115" w:rsidP="0001091F">
            <w:pPr>
              <w:pStyle w:val="Reference"/>
              <w:numPr>
                <w:ilvl w:val="0"/>
                <w:numId w:val="0"/>
              </w:numPr>
              <w:rPr>
                <w:rFonts w:cs="Arial"/>
                <w:sz w:val="20"/>
                <w:szCs w:val="18"/>
                <w:lang w:val="es-ES"/>
              </w:rPr>
            </w:pPr>
            <w:r w:rsidRPr="007B603C">
              <w:rPr>
                <w:rFonts w:cs="Arial"/>
                <w:sz w:val="20"/>
                <w:szCs w:val="18"/>
                <w:lang w:val="es-ES"/>
              </w:rPr>
              <w:t>ED threshold</w:t>
            </w:r>
          </w:p>
        </w:tc>
        <w:tc>
          <w:tcPr>
            <w:tcW w:w="5474" w:type="dxa"/>
          </w:tcPr>
          <w:p w14:paraId="03601C8A" w14:textId="77777777" w:rsidR="00621115" w:rsidRPr="007B603C" w:rsidRDefault="00621115" w:rsidP="0001091F">
            <w:pPr>
              <w:pStyle w:val="Reference"/>
              <w:numPr>
                <w:ilvl w:val="0"/>
                <w:numId w:val="0"/>
              </w:numPr>
              <w:rPr>
                <w:rFonts w:cs="Arial"/>
                <w:sz w:val="20"/>
                <w:szCs w:val="18"/>
              </w:rPr>
            </w:pPr>
            <w:r w:rsidRPr="007B603C">
              <w:rPr>
                <w:rFonts w:cs="Arial"/>
                <w:sz w:val="20"/>
                <w:szCs w:val="18"/>
              </w:rPr>
              <w:t>-85 dBm/MHz</w:t>
            </w:r>
          </w:p>
        </w:tc>
      </w:tr>
      <w:tr w:rsidR="00621115" w:rsidRPr="008E311B" w14:paraId="1EE23590" w14:textId="77777777" w:rsidTr="0001091F">
        <w:tc>
          <w:tcPr>
            <w:tcW w:w="1484" w:type="dxa"/>
            <w:vMerge/>
          </w:tcPr>
          <w:p w14:paraId="6A61E49E" w14:textId="77777777" w:rsidR="00621115" w:rsidRPr="007B603C" w:rsidRDefault="00621115" w:rsidP="0001091F">
            <w:pPr>
              <w:pStyle w:val="Reference"/>
              <w:numPr>
                <w:ilvl w:val="0"/>
                <w:numId w:val="0"/>
              </w:numPr>
              <w:rPr>
                <w:rFonts w:cs="Arial"/>
                <w:szCs w:val="18"/>
                <w:lang w:val="es-ES"/>
              </w:rPr>
            </w:pPr>
          </w:p>
        </w:tc>
        <w:tc>
          <w:tcPr>
            <w:tcW w:w="2384" w:type="dxa"/>
          </w:tcPr>
          <w:p w14:paraId="488C6AAC" w14:textId="77777777" w:rsidR="00621115" w:rsidRPr="00FE708D" w:rsidRDefault="00621115" w:rsidP="0001091F">
            <w:pPr>
              <w:pStyle w:val="Reference"/>
              <w:numPr>
                <w:ilvl w:val="0"/>
                <w:numId w:val="0"/>
              </w:numPr>
              <w:rPr>
                <w:rFonts w:cs="Arial"/>
                <w:szCs w:val="18"/>
              </w:rPr>
            </w:pPr>
            <w:r>
              <w:rPr>
                <w:rFonts w:cs="Arial"/>
                <w:szCs w:val="18"/>
              </w:rPr>
              <w:t>CAPC</w:t>
            </w:r>
          </w:p>
        </w:tc>
        <w:tc>
          <w:tcPr>
            <w:tcW w:w="5474" w:type="dxa"/>
          </w:tcPr>
          <w:p w14:paraId="4DE52A31" w14:textId="77777777" w:rsidR="00621115" w:rsidRDefault="00621115" w:rsidP="0001091F">
            <w:pPr>
              <w:pStyle w:val="Reference"/>
              <w:numPr>
                <w:ilvl w:val="0"/>
                <w:numId w:val="0"/>
              </w:numPr>
              <w:rPr>
                <w:rFonts w:cs="Arial"/>
                <w:szCs w:val="18"/>
              </w:rPr>
            </w:pPr>
            <w:r>
              <w:rPr>
                <w:rFonts w:cs="Arial"/>
                <w:szCs w:val="18"/>
              </w:rPr>
              <w:t>DL Class 4 for data (SL &amp; Interferers)</w:t>
            </w:r>
          </w:p>
          <w:p w14:paraId="6B906E3E" w14:textId="77777777" w:rsidR="00621115" w:rsidRPr="009B7D2C" w:rsidRDefault="00621115" w:rsidP="0001091F">
            <w:pPr>
              <w:pStyle w:val="Reference"/>
              <w:numPr>
                <w:ilvl w:val="0"/>
                <w:numId w:val="0"/>
              </w:numPr>
              <w:rPr>
                <w:rFonts w:cs="Arial"/>
                <w:szCs w:val="18"/>
              </w:rPr>
            </w:pPr>
            <w:r>
              <w:rPr>
                <w:rFonts w:cs="Arial"/>
                <w:szCs w:val="18"/>
              </w:rPr>
              <w:t>Parameters from agreed table.</w:t>
            </w:r>
          </w:p>
        </w:tc>
      </w:tr>
    </w:tbl>
    <w:p w14:paraId="54E6C52B" w14:textId="77777777" w:rsidR="002368D6" w:rsidRPr="00CE0424" w:rsidRDefault="002368D6" w:rsidP="007B603C">
      <w:pPr>
        <w:pStyle w:val="BodyText"/>
      </w:pPr>
    </w:p>
    <w:sectPr w:rsidR="002368D6"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D3225" w14:textId="77777777" w:rsidR="005E415E" w:rsidRDefault="005E415E">
      <w:r>
        <w:separator/>
      </w:r>
    </w:p>
  </w:endnote>
  <w:endnote w:type="continuationSeparator" w:id="0">
    <w:p w14:paraId="19759817" w14:textId="77777777" w:rsidR="005E415E" w:rsidRDefault="005E415E">
      <w:r>
        <w:continuationSeparator/>
      </w:r>
    </w:p>
  </w:endnote>
  <w:endnote w:type="continuationNotice" w:id="1">
    <w:p w14:paraId="0B3FCFA0" w14:textId="77777777" w:rsidR="005E415E" w:rsidRDefault="005E415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Sylfaen"/>
    <w:panose1 w:val="00000500000000020000"/>
    <w:charset w:val="BA"/>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Ericsson Hilda">
    <w:panose1 w:val="00000500000000000000"/>
    <w:charset w:val="00"/>
    <w:family w:val="auto"/>
    <w:notTrueType/>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D7973D" w14:textId="77777777" w:rsidR="005E415E" w:rsidRDefault="005E415E">
      <w:r>
        <w:separator/>
      </w:r>
    </w:p>
  </w:footnote>
  <w:footnote w:type="continuationSeparator" w:id="0">
    <w:p w14:paraId="7018DAB3" w14:textId="77777777" w:rsidR="005E415E" w:rsidRDefault="005E415E">
      <w:r>
        <w:continuationSeparator/>
      </w:r>
    </w:p>
  </w:footnote>
  <w:footnote w:type="continuationNotice" w:id="1">
    <w:p w14:paraId="645D19DE" w14:textId="77777777" w:rsidR="005E415E" w:rsidRDefault="005E415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ECB426C"/>
    <w:multiLevelType w:val="multilevel"/>
    <w:tmpl w:val="0ECB426C"/>
    <w:lvl w:ilvl="0">
      <w:numFmt w:val="bullet"/>
      <w:lvlText w:val=""/>
      <w:lvlJc w:val="left"/>
      <w:pPr>
        <w:ind w:left="360" w:hanging="360"/>
      </w:pPr>
      <w:rPr>
        <w:rFonts w:ascii="Symbol" w:eastAsia="Batang" w:hAnsi="Symbol"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30F6AF3"/>
    <w:multiLevelType w:val="hybridMultilevel"/>
    <w:tmpl w:val="76B6AAA2"/>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7" w15:restartNumberingAfterBreak="0">
    <w:nsid w:val="15CE3962"/>
    <w:multiLevelType w:val="hybridMultilevel"/>
    <w:tmpl w:val="3AFC3F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D405192"/>
    <w:multiLevelType w:val="hybridMultilevel"/>
    <w:tmpl w:val="2E061722"/>
    <w:lvl w:ilvl="0" w:tplc="10000001">
      <w:start w:val="1"/>
      <w:numFmt w:val="bullet"/>
      <w:lvlText w:val=""/>
      <w:lvlJc w:val="left"/>
      <w:pPr>
        <w:ind w:left="778" w:hanging="360"/>
      </w:pPr>
      <w:rPr>
        <w:rFonts w:ascii="Symbol" w:hAnsi="Symbol" w:hint="default"/>
      </w:rPr>
    </w:lvl>
    <w:lvl w:ilvl="1" w:tplc="10000003">
      <w:start w:val="1"/>
      <w:numFmt w:val="bullet"/>
      <w:lvlText w:val="o"/>
      <w:lvlJc w:val="left"/>
      <w:pPr>
        <w:ind w:left="1498" w:hanging="360"/>
      </w:pPr>
      <w:rPr>
        <w:rFonts w:ascii="Courier New" w:hAnsi="Courier New" w:cs="Courier New" w:hint="default"/>
      </w:rPr>
    </w:lvl>
    <w:lvl w:ilvl="2" w:tplc="10000005">
      <w:start w:val="1"/>
      <w:numFmt w:val="bullet"/>
      <w:lvlText w:val=""/>
      <w:lvlJc w:val="left"/>
      <w:pPr>
        <w:ind w:left="2218" w:hanging="360"/>
      </w:pPr>
      <w:rPr>
        <w:rFonts w:ascii="Wingdings" w:hAnsi="Wingdings" w:hint="default"/>
      </w:rPr>
    </w:lvl>
    <w:lvl w:ilvl="3" w:tplc="10000001" w:tentative="1">
      <w:start w:val="1"/>
      <w:numFmt w:val="bullet"/>
      <w:lvlText w:val=""/>
      <w:lvlJc w:val="left"/>
      <w:pPr>
        <w:ind w:left="2938" w:hanging="360"/>
      </w:pPr>
      <w:rPr>
        <w:rFonts w:ascii="Symbol" w:hAnsi="Symbol" w:hint="default"/>
      </w:rPr>
    </w:lvl>
    <w:lvl w:ilvl="4" w:tplc="10000003" w:tentative="1">
      <w:start w:val="1"/>
      <w:numFmt w:val="bullet"/>
      <w:lvlText w:val="o"/>
      <w:lvlJc w:val="left"/>
      <w:pPr>
        <w:ind w:left="3658" w:hanging="360"/>
      </w:pPr>
      <w:rPr>
        <w:rFonts w:ascii="Courier New" w:hAnsi="Courier New" w:cs="Courier New" w:hint="default"/>
      </w:rPr>
    </w:lvl>
    <w:lvl w:ilvl="5" w:tplc="10000005" w:tentative="1">
      <w:start w:val="1"/>
      <w:numFmt w:val="bullet"/>
      <w:lvlText w:val=""/>
      <w:lvlJc w:val="left"/>
      <w:pPr>
        <w:ind w:left="4378" w:hanging="360"/>
      </w:pPr>
      <w:rPr>
        <w:rFonts w:ascii="Wingdings" w:hAnsi="Wingdings" w:hint="default"/>
      </w:rPr>
    </w:lvl>
    <w:lvl w:ilvl="6" w:tplc="10000001" w:tentative="1">
      <w:start w:val="1"/>
      <w:numFmt w:val="bullet"/>
      <w:lvlText w:val=""/>
      <w:lvlJc w:val="left"/>
      <w:pPr>
        <w:ind w:left="5098" w:hanging="360"/>
      </w:pPr>
      <w:rPr>
        <w:rFonts w:ascii="Symbol" w:hAnsi="Symbol" w:hint="default"/>
      </w:rPr>
    </w:lvl>
    <w:lvl w:ilvl="7" w:tplc="10000003" w:tentative="1">
      <w:start w:val="1"/>
      <w:numFmt w:val="bullet"/>
      <w:lvlText w:val="o"/>
      <w:lvlJc w:val="left"/>
      <w:pPr>
        <w:ind w:left="5818" w:hanging="360"/>
      </w:pPr>
      <w:rPr>
        <w:rFonts w:ascii="Courier New" w:hAnsi="Courier New" w:cs="Courier New" w:hint="default"/>
      </w:rPr>
    </w:lvl>
    <w:lvl w:ilvl="8" w:tplc="10000005" w:tentative="1">
      <w:start w:val="1"/>
      <w:numFmt w:val="bullet"/>
      <w:lvlText w:val=""/>
      <w:lvlJc w:val="left"/>
      <w:pPr>
        <w:ind w:left="6538"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36C272A"/>
    <w:multiLevelType w:val="hybridMultilevel"/>
    <w:tmpl w:val="B7888CD2"/>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1" w15:restartNumberingAfterBreak="0">
    <w:nsid w:val="239072C5"/>
    <w:multiLevelType w:val="hybridMultilevel"/>
    <w:tmpl w:val="7318F4F6"/>
    <w:lvl w:ilvl="0" w:tplc="10000001">
      <w:start w:val="1"/>
      <w:numFmt w:val="bullet"/>
      <w:lvlText w:val=""/>
      <w:lvlJc w:val="left"/>
      <w:pPr>
        <w:ind w:left="774" w:hanging="360"/>
      </w:pPr>
      <w:rPr>
        <w:rFonts w:ascii="Symbol" w:hAnsi="Symbol" w:hint="default"/>
      </w:rPr>
    </w:lvl>
    <w:lvl w:ilvl="1" w:tplc="10000003" w:tentative="1">
      <w:start w:val="1"/>
      <w:numFmt w:val="bullet"/>
      <w:lvlText w:val="o"/>
      <w:lvlJc w:val="left"/>
      <w:pPr>
        <w:ind w:left="1494" w:hanging="360"/>
      </w:pPr>
      <w:rPr>
        <w:rFonts w:ascii="Courier New" w:hAnsi="Courier New" w:cs="Courier New" w:hint="default"/>
      </w:rPr>
    </w:lvl>
    <w:lvl w:ilvl="2" w:tplc="10000005" w:tentative="1">
      <w:start w:val="1"/>
      <w:numFmt w:val="bullet"/>
      <w:lvlText w:val=""/>
      <w:lvlJc w:val="left"/>
      <w:pPr>
        <w:ind w:left="2214" w:hanging="360"/>
      </w:pPr>
      <w:rPr>
        <w:rFonts w:ascii="Wingdings" w:hAnsi="Wingdings" w:hint="default"/>
      </w:rPr>
    </w:lvl>
    <w:lvl w:ilvl="3" w:tplc="10000001" w:tentative="1">
      <w:start w:val="1"/>
      <w:numFmt w:val="bullet"/>
      <w:lvlText w:val=""/>
      <w:lvlJc w:val="left"/>
      <w:pPr>
        <w:ind w:left="2934" w:hanging="360"/>
      </w:pPr>
      <w:rPr>
        <w:rFonts w:ascii="Symbol" w:hAnsi="Symbol" w:hint="default"/>
      </w:rPr>
    </w:lvl>
    <w:lvl w:ilvl="4" w:tplc="10000003" w:tentative="1">
      <w:start w:val="1"/>
      <w:numFmt w:val="bullet"/>
      <w:lvlText w:val="o"/>
      <w:lvlJc w:val="left"/>
      <w:pPr>
        <w:ind w:left="3654" w:hanging="360"/>
      </w:pPr>
      <w:rPr>
        <w:rFonts w:ascii="Courier New" w:hAnsi="Courier New" w:cs="Courier New" w:hint="default"/>
      </w:rPr>
    </w:lvl>
    <w:lvl w:ilvl="5" w:tplc="10000005" w:tentative="1">
      <w:start w:val="1"/>
      <w:numFmt w:val="bullet"/>
      <w:lvlText w:val=""/>
      <w:lvlJc w:val="left"/>
      <w:pPr>
        <w:ind w:left="4374" w:hanging="360"/>
      </w:pPr>
      <w:rPr>
        <w:rFonts w:ascii="Wingdings" w:hAnsi="Wingdings" w:hint="default"/>
      </w:rPr>
    </w:lvl>
    <w:lvl w:ilvl="6" w:tplc="10000001" w:tentative="1">
      <w:start w:val="1"/>
      <w:numFmt w:val="bullet"/>
      <w:lvlText w:val=""/>
      <w:lvlJc w:val="left"/>
      <w:pPr>
        <w:ind w:left="5094" w:hanging="360"/>
      </w:pPr>
      <w:rPr>
        <w:rFonts w:ascii="Symbol" w:hAnsi="Symbol" w:hint="default"/>
      </w:rPr>
    </w:lvl>
    <w:lvl w:ilvl="7" w:tplc="10000003" w:tentative="1">
      <w:start w:val="1"/>
      <w:numFmt w:val="bullet"/>
      <w:lvlText w:val="o"/>
      <w:lvlJc w:val="left"/>
      <w:pPr>
        <w:ind w:left="5814" w:hanging="360"/>
      </w:pPr>
      <w:rPr>
        <w:rFonts w:ascii="Courier New" w:hAnsi="Courier New" w:cs="Courier New" w:hint="default"/>
      </w:rPr>
    </w:lvl>
    <w:lvl w:ilvl="8" w:tplc="10000005" w:tentative="1">
      <w:start w:val="1"/>
      <w:numFmt w:val="bullet"/>
      <w:lvlText w:val=""/>
      <w:lvlJc w:val="left"/>
      <w:pPr>
        <w:ind w:left="6534" w:hanging="360"/>
      </w:pPr>
      <w:rPr>
        <w:rFonts w:ascii="Wingdings" w:hAnsi="Wingdings" w:hint="default"/>
      </w:rPr>
    </w:lvl>
  </w:abstractNum>
  <w:abstractNum w:abstractNumId="12" w15:restartNumberingAfterBreak="0">
    <w:nsid w:val="24DA6DE5"/>
    <w:multiLevelType w:val="hybridMultilevel"/>
    <w:tmpl w:val="6BA04C4E"/>
    <w:lvl w:ilvl="0" w:tplc="A5FC22CA">
      <w:start w:val="1"/>
      <w:numFmt w:val="bullet"/>
      <w:lvlText w:val="●"/>
      <w:lvlJc w:val="left"/>
      <w:pPr>
        <w:tabs>
          <w:tab w:val="num" w:pos="720"/>
        </w:tabs>
        <w:ind w:left="720" w:hanging="360"/>
      </w:pPr>
      <w:rPr>
        <w:rFonts w:ascii="Ericsson Hilda" w:hAnsi="Ericsson Hilda" w:hint="default"/>
      </w:rPr>
    </w:lvl>
    <w:lvl w:ilvl="1" w:tplc="F7B69E0E" w:tentative="1">
      <w:start w:val="1"/>
      <w:numFmt w:val="bullet"/>
      <w:lvlText w:val="●"/>
      <w:lvlJc w:val="left"/>
      <w:pPr>
        <w:tabs>
          <w:tab w:val="num" w:pos="1440"/>
        </w:tabs>
        <w:ind w:left="1440" w:hanging="360"/>
      </w:pPr>
      <w:rPr>
        <w:rFonts w:ascii="Ericsson Hilda" w:hAnsi="Ericsson Hilda" w:hint="default"/>
      </w:rPr>
    </w:lvl>
    <w:lvl w:ilvl="2" w:tplc="F58C8956" w:tentative="1">
      <w:start w:val="1"/>
      <w:numFmt w:val="bullet"/>
      <w:lvlText w:val="●"/>
      <w:lvlJc w:val="left"/>
      <w:pPr>
        <w:tabs>
          <w:tab w:val="num" w:pos="2160"/>
        </w:tabs>
        <w:ind w:left="2160" w:hanging="360"/>
      </w:pPr>
      <w:rPr>
        <w:rFonts w:ascii="Ericsson Hilda" w:hAnsi="Ericsson Hilda" w:hint="default"/>
      </w:rPr>
    </w:lvl>
    <w:lvl w:ilvl="3" w:tplc="100CEC64" w:tentative="1">
      <w:start w:val="1"/>
      <w:numFmt w:val="bullet"/>
      <w:lvlText w:val="●"/>
      <w:lvlJc w:val="left"/>
      <w:pPr>
        <w:tabs>
          <w:tab w:val="num" w:pos="2880"/>
        </w:tabs>
        <w:ind w:left="2880" w:hanging="360"/>
      </w:pPr>
      <w:rPr>
        <w:rFonts w:ascii="Ericsson Hilda" w:hAnsi="Ericsson Hilda" w:hint="default"/>
      </w:rPr>
    </w:lvl>
    <w:lvl w:ilvl="4" w:tplc="7478AD76" w:tentative="1">
      <w:start w:val="1"/>
      <w:numFmt w:val="bullet"/>
      <w:lvlText w:val="●"/>
      <w:lvlJc w:val="left"/>
      <w:pPr>
        <w:tabs>
          <w:tab w:val="num" w:pos="3600"/>
        </w:tabs>
        <w:ind w:left="3600" w:hanging="360"/>
      </w:pPr>
      <w:rPr>
        <w:rFonts w:ascii="Ericsson Hilda" w:hAnsi="Ericsson Hilda" w:hint="default"/>
      </w:rPr>
    </w:lvl>
    <w:lvl w:ilvl="5" w:tplc="09B26748" w:tentative="1">
      <w:start w:val="1"/>
      <w:numFmt w:val="bullet"/>
      <w:lvlText w:val="●"/>
      <w:lvlJc w:val="left"/>
      <w:pPr>
        <w:tabs>
          <w:tab w:val="num" w:pos="4320"/>
        </w:tabs>
        <w:ind w:left="4320" w:hanging="360"/>
      </w:pPr>
      <w:rPr>
        <w:rFonts w:ascii="Ericsson Hilda" w:hAnsi="Ericsson Hilda" w:hint="default"/>
      </w:rPr>
    </w:lvl>
    <w:lvl w:ilvl="6" w:tplc="9092AE9A" w:tentative="1">
      <w:start w:val="1"/>
      <w:numFmt w:val="bullet"/>
      <w:lvlText w:val="●"/>
      <w:lvlJc w:val="left"/>
      <w:pPr>
        <w:tabs>
          <w:tab w:val="num" w:pos="5040"/>
        </w:tabs>
        <w:ind w:left="5040" w:hanging="360"/>
      </w:pPr>
      <w:rPr>
        <w:rFonts w:ascii="Ericsson Hilda" w:hAnsi="Ericsson Hilda" w:hint="default"/>
      </w:rPr>
    </w:lvl>
    <w:lvl w:ilvl="7" w:tplc="BBA05FEE" w:tentative="1">
      <w:start w:val="1"/>
      <w:numFmt w:val="bullet"/>
      <w:lvlText w:val="●"/>
      <w:lvlJc w:val="left"/>
      <w:pPr>
        <w:tabs>
          <w:tab w:val="num" w:pos="5760"/>
        </w:tabs>
        <w:ind w:left="5760" w:hanging="360"/>
      </w:pPr>
      <w:rPr>
        <w:rFonts w:ascii="Ericsson Hilda" w:hAnsi="Ericsson Hilda" w:hint="default"/>
      </w:rPr>
    </w:lvl>
    <w:lvl w:ilvl="8" w:tplc="90FA41D0" w:tentative="1">
      <w:start w:val="1"/>
      <w:numFmt w:val="bullet"/>
      <w:lvlText w:val="●"/>
      <w:lvlJc w:val="left"/>
      <w:pPr>
        <w:tabs>
          <w:tab w:val="num" w:pos="6480"/>
        </w:tabs>
        <w:ind w:left="6480" w:hanging="360"/>
      </w:pPr>
      <w:rPr>
        <w:rFonts w:ascii="Ericsson Hilda" w:hAnsi="Ericsson Hilda" w:hint="default"/>
      </w:rPr>
    </w:lvl>
  </w:abstractNum>
  <w:abstractNum w:abstractNumId="13" w15:restartNumberingAfterBreak="0">
    <w:nsid w:val="27522E56"/>
    <w:multiLevelType w:val="hybridMultilevel"/>
    <w:tmpl w:val="A5D0A08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A3E3BD4"/>
    <w:multiLevelType w:val="multilevel"/>
    <w:tmpl w:val="F026766A"/>
    <w:lvl w:ilvl="0">
      <w:start w:val="2"/>
      <w:numFmt w:val="decimal"/>
      <w:lvlText w:val="%1."/>
      <w:lvlJc w:val="left"/>
      <w:pPr>
        <w:ind w:left="786" w:hanging="360"/>
      </w:pPr>
      <w:rPr>
        <w:rFonts w:hint="default"/>
      </w:rPr>
    </w:lvl>
    <w:lvl w:ilvl="1">
      <w:start w:val="2"/>
      <w:numFmt w:val="decimal"/>
      <w:isLgl/>
      <w:lvlText w:val="%1.%2"/>
      <w:lvlJc w:val="left"/>
      <w:pPr>
        <w:ind w:left="966" w:hanging="54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6" w15:restartNumberingAfterBreak="0">
    <w:nsid w:val="2BF754A4"/>
    <w:multiLevelType w:val="hybridMultilevel"/>
    <w:tmpl w:val="B568EF7A"/>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7" w15:restartNumberingAfterBreak="0">
    <w:nsid w:val="2C0046F0"/>
    <w:multiLevelType w:val="hybridMultilevel"/>
    <w:tmpl w:val="5DBC67E0"/>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8" w15:restartNumberingAfterBreak="0">
    <w:nsid w:val="2C8A5825"/>
    <w:multiLevelType w:val="hybridMultilevel"/>
    <w:tmpl w:val="BBCE4942"/>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9" w15:restartNumberingAfterBreak="0">
    <w:nsid w:val="2CA56DE7"/>
    <w:multiLevelType w:val="hybridMultilevel"/>
    <w:tmpl w:val="84B484F4"/>
    <w:lvl w:ilvl="0" w:tplc="EC2008BC">
      <w:start w:val="3"/>
      <w:numFmt w:val="bullet"/>
      <w:lvlText w:val="-"/>
      <w:lvlJc w:val="left"/>
      <w:pPr>
        <w:ind w:left="360" w:hanging="360"/>
      </w:pPr>
      <w:rPr>
        <w:rFonts w:ascii="Arial" w:eastAsia="Times New Roman" w:hAnsi="Arial" w:cs="Aria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0" w15:restartNumberingAfterBreak="0">
    <w:nsid w:val="30404414"/>
    <w:multiLevelType w:val="hybridMultilevel"/>
    <w:tmpl w:val="293C2A6E"/>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1" w15:restartNumberingAfterBreak="0">
    <w:nsid w:val="30920D24"/>
    <w:multiLevelType w:val="hybridMultilevel"/>
    <w:tmpl w:val="B79A01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53447B5"/>
    <w:multiLevelType w:val="multilevel"/>
    <w:tmpl w:val="353447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C22267E"/>
    <w:multiLevelType w:val="hybridMultilevel"/>
    <w:tmpl w:val="CE52B03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3DFF11B7"/>
    <w:multiLevelType w:val="hybridMultilevel"/>
    <w:tmpl w:val="A7B411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3F2F26EC"/>
    <w:multiLevelType w:val="hybridMultilevel"/>
    <w:tmpl w:val="EC225E5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9" w15:restartNumberingAfterBreak="0">
    <w:nsid w:val="46F61369"/>
    <w:multiLevelType w:val="hybridMultilevel"/>
    <w:tmpl w:val="70B43C1C"/>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0" w15:restartNumberingAfterBreak="0">
    <w:nsid w:val="496C7579"/>
    <w:multiLevelType w:val="hybridMultilevel"/>
    <w:tmpl w:val="E37A783C"/>
    <w:lvl w:ilvl="0" w:tplc="00C4D724">
      <w:start w:val="1"/>
      <w:numFmt w:val="bullet"/>
      <w:lvlText w:val="–"/>
      <w:lvlJc w:val="left"/>
      <w:pPr>
        <w:tabs>
          <w:tab w:val="num" w:pos="720"/>
        </w:tabs>
        <w:ind w:left="720" w:hanging="360"/>
      </w:pPr>
      <w:rPr>
        <w:rFonts w:ascii="Ericsson Hilda" w:hAnsi="Ericsson Hilda" w:hint="default"/>
      </w:rPr>
    </w:lvl>
    <w:lvl w:ilvl="1" w:tplc="1B8E9900">
      <w:start w:val="1"/>
      <w:numFmt w:val="bullet"/>
      <w:lvlText w:val="–"/>
      <w:lvlJc w:val="left"/>
      <w:pPr>
        <w:tabs>
          <w:tab w:val="num" w:pos="1440"/>
        </w:tabs>
        <w:ind w:left="1440" w:hanging="360"/>
      </w:pPr>
      <w:rPr>
        <w:rFonts w:ascii="Ericsson Hilda" w:hAnsi="Ericsson Hilda" w:hint="default"/>
      </w:rPr>
    </w:lvl>
    <w:lvl w:ilvl="2" w:tplc="2632989E" w:tentative="1">
      <w:start w:val="1"/>
      <w:numFmt w:val="bullet"/>
      <w:lvlText w:val="–"/>
      <w:lvlJc w:val="left"/>
      <w:pPr>
        <w:tabs>
          <w:tab w:val="num" w:pos="2160"/>
        </w:tabs>
        <w:ind w:left="2160" w:hanging="360"/>
      </w:pPr>
      <w:rPr>
        <w:rFonts w:ascii="Ericsson Hilda" w:hAnsi="Ericsson Hilda" w:hint="default"/>
      </w:rPr>
    </w:lvl>
    <w:lvl w:ilvl="3" w:tplc="5EFA2158" w:tentative="1">
      <w:start w:val="1"/>
      <w:numFmt w:val="bullet"/>
      <w:lvlText w:val="–"/>
      <w:lvlJc w:val="left"/>
      <w:pPr>
        <w:tabs>
          <w:tab w:val="num" w:pos="2880"/>
        </w:tabs>
        <w:ind w:left="2880" w:hanging="360"/>
      </w:pPr>
      <w:rPr>
        <w:rFonts w:ascii="Ericsson Hilda" w:hAnsi="Ericsson Hilda" w:hint="default"/>
      </w:rPr>
    </w:lvl>
    <w:lvl w:ilvl="4" w:tplc="B3C882F2" w:tentative="1">
      <w:start w:val="1"/>
      <w:numFmt w:val="bullet"/>
      <w:lvlText w:val="–"/>
      <w:lvlJc w:val="left"/>
      <w:pPr>
        <w:tabs>
          <w:tab w:val="num" w:pos="3600"/>
        </w:tabs>
        <w:ind w:left="3600" w:hanging="360"/>
      </w:pPr>
      <w:rPr>
        <w:rFonts w:ascii="Ericsson Hilda" w:hAnsi="Ericsson Hilda" w:hint="default"/>
      </w:rPr>
    </w:lvl>
    <w:lvl w:ilvl="5" w:tplc="00424558" w:tentative="1">
      <w:start w:val="1"/>
      <w:numFmt w:val="bullet"/>
      <w:lvlText w:val="–"/>
      <w:lvlJc w:val="left"/>
      <w:pPr>
        <w:tabs>
          <w:tab w:val="num" w:pos="4320"/>
        </w:tabs>
        <w:ind w:left="4320" w:hanging="360"/>
      </w:pPr>
      <w:rPr>
        <w:rFonts w:ascii="Ericsson Hilda" w:hAnsi="Ericsson Hilda" w:hint="default"/>
      </w:rPr>
    </w:lvl>
    <w:lvl w:ilvl="6" w:tplc="B29ED73C" w:tentative="1">
      <w:start w:val="1"/>
      <w:numFmt w:val="bullet"/>
      <w:lvlText w:val="–"/>
      <w:lvlJc w:val="left"/>
      <w:pPr>
        <w:tabs>
          <w:tab w:val="num" w:pos="5040"/>
        </w:tabs>
        <w:ind w:left="5040" w:hanging="360"/>
      </w:pPr>
      <w:rPr>
        <w:rFonts w:ascii="Ericsson Hilda" w:hAnsi="Ericsson Hilda" w:hint="default"/>
      </w:rPr>
    </w:lvl>
    <w:lvl w:ilvl="7" w:tplc="B6626A94" w:tentative="1">
      <w:start w:val="1"/>
      <w:numFmt w:val="bullet"/>
      <w:lvlText w:val="–"/>
      <w:lvlJc w:val="left"/>
      <w:pPr>
        <w:tabs>
          <w:tab w:val="num" w:pos="5760"/>
        </w:tabs>
        <w:ind w:left="5760" w:hanging="360"/>
      </w:pPr>
      <w:rPr>
        <w:rFonts w:ascii="Ericsson Hilda" w:hAnsi="Ericsson Hilda" w:hint="default"/>
      </w:rPr>
    </w:lvl>
    <w:lvl w:ilvl="8" w:tplc="50844BFE" w:tentative="1">
      <w:start w:val="1"/>
      <w:numFmt w:val="bullet"/>
      <w:lvlText w:val="–"/>
      <w:lvlJc w:val="left"/>
      <w:pPr>
        <w:tabs>
          <w:tab w:val="num" w:pos="6480"/>
        </w:tabs>
        <w:ind w:left="6480" w:hanging="360"/>
      </w:pPr>
      <w:rPr>
        <w:rFonts w:ascii="Ericsson Hilda" w:hAnsi="Ericsson Hilda" w:hint="default"/>
      </w:rPr>
    </w:lvl>
  </w:abstractNum>
  <w:abstractNum w:abstractNumId="31" w15:restartNumberingAfterBreak="0">
    <w:nsid w:val="49C546B0"/>
    <w:multiLevelType w:val="hybridMultilevel"/>
    <w:tmpl w:val="13D2B0A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4C244BCE"/>
    <w:multiLevelType w:val="hybridMultilevel"/>
    <w:tmpl w:val="A7E0B570"/>
    <w:lvl w:ilvl="0" w:tplc="A162DF58">
      <w:start w:val="1"/>
      <w:numFmt w:val="bullet"/>
      <w:lvlText w:val="-"/>
      <w:lvlJc w:val="left"/>
      <w:pPr>
        <w:ind w:left="360" w:hanging="360"/>
      </w:pPr>
      <w:rPr>
        <w:rFonts w:ascii="Times New Roman" w:eastAsia="SimSu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3923ED0"/>
    <w:multiLevelType w:val="hybridMultilevel"/>
    <w:tmpl w:val="CDB2DBC6"/>
    <w:lvl w:ilvl="0" w:tplc="F356DCDE">
      <w:start w:val="1"/>
      <w:numFmt w:val="bullet"/>
      <w:lvlText w:val="–"/>
      <w:lvlJc w:val="left"/>
      <w:pPr>
        <w:tabs>
          <w:tab w:val="num" w:pos="720"/>
        </w:tabs>
        <w:ind w:left="720" w:hanging="360"/>
      </w:pPr>
      <w:rPr>
        <w:rFonts w:ascii="Ericsson Hilda" w:hAnsi="Ericsson Hilda" w:hint="default"/>
      </w:rPr>
    </w:lvl>
    <w:lvl w:ilvl="1" w:tplc="D4E87120">
      <w:start w:val="1"/>
      <w:numFmt w:val="bullet"/>
      <w:lvlText w:val="–"/>
      <w:lvlJc w:val="left"/>
      <w:pPr>
        <w:tabs>
          <w:tab w:val="num" w:pos="1440"/>
        </w:tabs>
        <w:ind w:left="1440" w:hanging="360"/>
      </w:pPr>
      <w:rPr>
        <w:rFonts w:ascii="Ericsson Hilda" w:hAnsi="Ericsson Hilda" w:hint="default"/>
      </w:rPr>
    </w:lvl>
    <w:lvl w:ilvl="2" w:tplc="5B486B1E" w:tentative="1">
      <w:start w:val="1"/>
      <w:numFmt w:val="bullet"/>
      <w:lvlText w:val="–"/>
      <w:lvlJc w:val="left"/>
      <w:pPr>
        <w:tabs>
          <w:tab w:val="num" w:pos="2160"/>
        </w:tabs>
        <w:ind w:left="2160" w:hanging="360"/>
      </w:pPr>
      <w:rPr>
        <w:rFonts w:ascii="Ericsson Hilda" w:hAnsi="Ericsson Hilda" w:hint="default"/>
      </w:rPr>
    </w:lvl>
    <w:lvl w:ilvl="3" w:tplc="EBB4E5B6" w:tentative="1">
      <w:start w:val="1"/>
      <w:numFmt w:val="bullet"/>
      <w:lvlText w:val="–"/>
      <w:lvlJc w:val="left"/>
      <w:pPr>
        <w:tabs>
          <w:tab w:val="num" w:pos="2880"/>
        </w:tabs>
        <w:ind w:left="2880" w:hanging="360"/>
      </w:pPr>
      <w:rPr>
        <w:rFonts w:ascii="Ericsson Hilda" w:hAnsi="Ericsson Hilda" w:hint="default"/>
      </w:rPr>
    </w:lvl>
    <w:lvl w:ilvl="4" w:tplc="FA1CA380" w:tentative="1">
      <w:start w:val="1"/>
      <w:numFmt w:val="bullet"/>
      <w:lvlText w:val="–"/>
      <w:lvlJc w:val="left"/>
      <w:pPr>
        <w:tabs>
          <w:tab w:val="num" w:pos="3600"/>
        </w:tabs>
        <w:ind w:left="3600" w:hanging="360"/>
      </w:pPr>
      <w:rPr>
        <w:rFonts w:ascii="Ericsson Hilda" w:hAnsi="Ericsson Hilda" w:hint="default"/>
      </w:rPr>
    </w:lvl>
    <w:lvl w:ilvl="5" w:tplc="E8521142" w:tentative="1">
      <w:start w:val="1"/>
      <w:numFmt w:val="bullet"/>
      <w:lvlText w:val="–"/>
      <w:lvlJc w:val="left"/>
      <w:pPr>
        <w:tabs>
          <w:tab w:val="num" w:pos="4320"/>
        </w:tabs>
        <w:ind w:left="4320" w:hanging="360"/>
      </w:pPr>
      <w:rPr>
        <w:rFonts w:ascii="Ericsson Hilda" w:hAnsi="Ericsson Hilda" w:hint="default"/>
      </w:rPr>
    </w:lvl>
    <w:lvl w:ilvl="6" w:tplc="7BE22172" w:tentative="1">
      <w:start w:val="1"/>
      <w:numFmt w:val="bullet"/>
      <w:lvlText w:val="–"/>
      <w:lvlJc w:val="left"/>
      <w:pPr>
        <w:tabs>
          <w:tab w:val="num" w:pos="5040"/>
        </w:tabs>
        <w:ind w:left="5040" w:hanging="360"/>
      </w:pPr>
      <w:rPr>
        <w:rFonts w:ascii="Ericsson Hilda" w:hAnsi="Ericsson Hilda" w:hint="default"/>
      </w:rPr>
    </w:lvl>
    <w:lvl w:ilvl="7" w:tplc="947E4338" w:tentative="1">
      <w:start w:val="1"/>
      <w:numFmt w:val="bullet"/>
      <w:lvlText w:val="–"/>
      <w:lvlJc w:val="left"/>
      <w:pPr>
        <w:tabs>
          <w:tab w:val="num" w:pos="5760"/>
        </w:tabs>
        <w:ind w:left="5760" w:hanging="360"/>
      </w:pPr>
      <w:rPr>
        <w:rFonts w:ascii="Ericsson Hilda" w:hAnsi="Ericsson Hilda" w:hint="default"/>
      </w:rPr>
    </w:lvl>
    <w:lvl w:ilvl="8" w:tplc="501489DE" w:tentative="1">
      <w:start w:val="1"/>
      <w:numFmt w:val="bullet"/>
      <w:lvlText w:val="–"/>
      <w:lvlJc w:val="left"/>
      <w:pPr>
        <w:tabs>
          <w:tab w:val="num" w:pos="6480"/>
        </w:tabs>
        <w:ind w:left="6480" w:hanging="360"/>
      </w:pPr>
      <w:rPr>
        <w:rFonts w:ascii="Ericsson Hilda" w:hAnsi="Ericsson Hilda" w:hint="default"/>
      </w:rPr>
    </w:lvl>
  </w:abstractNum>
  <w:abstractNum w:abstractNumId="37" w15:restartNumberingAfterBreak="0">
    <w:nsid w:val="53965E64"/>
    <w:multiLevelType w:val="hybridMultilevel"/>
    <w:tmpl w:val="DF0201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55183CDA"/>
    <w:multiLevelType w:val="hybridMultilevel"/>
    <w:tmpl w:val="6C6832A0"/>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9" w15:restartNumberingAfterBreak="0">
    <w:nsid w:val="55741B84"/>
    <w:multiLevelType w:val="hybridMultilevel"/>
    <w:tmpl w:val="A0D48B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57760A1D"/>
    <w:multiLevelType w:val="hybridMultilevel"/>
    <w:tmpl w:val="4CB8AC58"/>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2" w15:restartNumberingAfterBreak="0">
    <w:nsid w:val="598453CD"/>
    <w:multiLevelType w:val="hybridMultilevel"/>
    <w:tmpl w:val="6A804968"/>
    <w:lvl w:ilvl="0" w:tplc="040B0001">
      <w:start w:val="1"/>
      <w:numFmt w:val="bullet"/>
      <w:lvlText w:val=""/>
      <w:lvlJc w:val="left"/>
      <w:pPr>
        <w:ind w:left="2080" w:hanging="360"/>
      </w:pPr>
      <w:rPr>
        <w:rFonts w:ascii="Symbol" w:hAnsi="Symbol" w:hint="default"/>
      </w:rPr>
    </w:lvl>
    <w:lvl w:ilvl="1" w:tplc="040B0003" w:tentative="1">
      <w:start w:val="1"/>
      <w:numFmt w:val="bullet"/>
      <w:lvlText w:val="o"/>
      <w:lvlJc w:val="left"/>
      <w:pPr>
        <w:ind w:left="2800" w:hanging="360"/>
      </w:pPr>
      <w:rPr>
        <w:rFonts w:ascii="Courier New" w:hAnsi="Courier New" w:cs="Courier New" w:hint="default"/>
      </w:rPr>
    </w:lvl>
    <w:lvl w:ilvl="2" w:tplc="040B0005" w:tentative="1">
      <w:start w:val="1"/>
      <w:numFmt w:val="bullet"/>
      <w:lvlText w:val=""/>
      <w:lvlJc w:val="left"/>
      <w:pPr>
        <w:ind w:left="3520" w:hanging="360"/>
      </w:pPr>
      <w:rPr>
        <w:rFonts w:ascii="Wingdings" w:hAnsi="Wingdings" w:hint="default"/>
      </w:rPr>
    </w:lvl>
    <w:lvl w:ilvl="3" w:tplc="040B0001" w:tentative="1">
      <w:start w:val="1"/>
      <w:numFmt w:val="bullet"/>
      <w:lvlText w:val=""/>
      <w:lvlJc w:val="left"/>
      <w:pPr>
        <w:ind w:left="4240" w:hanging="360"/>
      </w:pPr>
      <w:rPr>
        <w:rFonts w:ascii="Symbol" w:hAnsi="Symbol" w:hint="default"/>
      </w:rPr>
    </w:lvl>
    <w:lvl w:ilvl="4" w:tplc="040B0003" w:tentative="1">
      <w:start w:val="1"/>
      <w:numFmt w:val="bullet"/>
      <w:lvlText w:val="o"/>
      <w:lvlJc w:val="left"/>
      <w:pPr>
        <w:ind w:left="4960" w:hanging="360"/>
      </w:pPr>
      <w:rPr>
        <w:rFonts w:ascii="Courier New" w:hAnsi="Courier New" w:cs="Courier New" w:hint="default"/>
      </w:rPr>
    </w:lvl>
    <w:lvl w:ilvl="5" w:tplc="040B0005" w:tentative="1">
      <w:start w:val="1"/>
      <w:numFmt w:val="bullet"/>
      <w:lvlText w:val=""/>
      <w:lvlJc w:val="left"/>
      <w:pPr>
        <w:ind w:left="5680" w:hanging="360"/>
      </w:pPr>
      <w:rPr>
        <w:rFonts w:ascii="Wingdings" w:hAnsi="Wingdings" w:hint="default"/>
      </w:rPr>
    </w:lvl>
    <w:lvl w:ilvl="6" w:tplc="040B0001" w:tentative="1">
      <w:start w:val="1"/>
      <w:numFmt w:val="bullet"/>
      <w:lvlText w:val=""/>
      <w:lvlJc w:val="left"/>
      <w:pPr>
        <w:ind w:left="6400" w:hanging="360"/>
      </w:pPr>
      <w:rPr>
        <w:rFonts w:ascii="Symbol" w:hAnsi="Symbol" w:hint="default"/>
      </w:rPr>
    </w:lvl>
    <w:lvl w:ilvl="7" w:tplc="040B0003" w:tentative="1">
      <w:start w:val="1"/>
      <w:numFmt w:val="bullet"/>
      <w:lvlText w:val="o"/>
      <w:lvlJc w:val="left"/>
      <w:pPr>
        <w:ind w:left="7120" w:hanging="360"/>
      </w:pPr>
      <w:rPr>
        <w:rFonts w:ascii="Courier New" w:hAnsi="Courier New" w:cs="Courier New" w:hint="default"/>
      </w:rPr>
    </w:lvl>
    <w:lvl w:ilvl="8" w:tplc="040B0005" w:tentative="1">
      <w:start w:val="1"/>
      <w:numFmt w:val="bullet"/>
      <w:lvlText w:val=""/>
      <w:lvlJc w:val="left"/>
      <w:pPr>
        <w:ind w:left="7840" w:hanging="360"/>
      </w:pPr>
      <w:rPr>
        <w:rFonts w:ascii="Wingdings" w:hAnsi="Wingdings" w:hint="default"/>
      </w:rPr>
    </w:lvl>
  </w:abstractNum>
  <w:abstractNum w:abstractNumId="43" w15:restartNumberingAfterBreak="0">
    <w:nsid w:val="59FA0949"/>
    <w:multiLevelType w:val="hybridMultilevel"/>
    <w:tmpl w:val="BEB83C8C"/>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15:restartNumberingAfterBreak="0">
    <w:nsid w:val="5E831E4C"/>
    <w:multiLevelType w:val="hybridMultilevel"/>
    <w:tmpl w:val="0C324694"/>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6" w15:restartNumberingAfterBreak="0">
    <w:nsid w:val="621C06DF"/>
    <w:multiLevelType w:val="hybridMultilevel"/>
    <w:tmpl w:val="8F5E6C96"/>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7" w15:restartNumberingAfterBreak="0">
    <w:nsid w:val="62D4344A"/>
    <w:multiLevelType w:val="multilevel"/>
    <w:tmpl w:val="671C38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6F517BC"/>
    <w:multiLevelType w:val="hybridMultilevel"/>
    <w:tmpl w:val="530682D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6C373F6A"/>
    <w:multiLevelType w:val="hybridMultilevel"/>
    <w:tmpl w:val="042083AC"/>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1" w15:restartNumberingAfterBreak="0">
    <w:nsid w:val="709F4CC5"/>
    <w:multiLevelType w:val="hybridMultilevel"/>
    <w:tmpl w:val="D7C2CF1E"/>
    <w:lvl w:ilvl="0" w:tplc="10000001">
      <w:start w:val="1"/>
      <w:numFmt w:val="bullet"/>
      <w:lvlText w:val=""/>
      <w:lvlJc w:val="left"/>
      <w:pPr>
        <w:ind w:left="720" w:hanging="360"/>
      </w:pPr>
      <w:rPr>
        <w:rFonts w:ascii="Symbol" w:hAnsi="Symbol"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2" w15:restartNumberingAfterBreak="0">
    <w:nsid w:val="710B05BA"/>
    <w:multiLevelType w:val="hybridMultilevel"/>
    <w:tmpl w:val="E63E77FC"/>
    <w:lvl w:ilvl="0" w:tplc="040B0001">
      <w:start w:val="1"/>
      <w:numFmt w:val="bullet"/>
      <w:lvlText w:val=""/>
      <w:lvlJc w:val="left"/>
      <w:pPr>
        <w:ind w:left="2024" w:hanging="360"/>
      </w:pPr>
      <w:rPr>
        <w:rFonts w:ascii="Symbol" w:hAnsi="Symbol" w:hint="default"/>
      </w:rPr>
    </w:lvl>
    <w:lvl w:ilvl="1" w:tplc="040B0003">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abstractNum w:abstractNumId="5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4" w15:restartNumberingAfterBreak="0">
    <w:nsid w:val="75C54E5F"/>
    <w:multiLevelType w:val="hybridMultilevel"/>
    <w:tmpl w:val="7D161A40"/>
    <w:lvl w:ilvl="0" w:tplc="4114EEFA">
      <w:start w:val="1"/>
      <w:numFmt w:val="lowerRoman"/>
      <w:lvlText w:val="%1)"/>
      <w:lvlJc w:val="left"/>
      <w:pPr>
        <w:ind w:left="1080" w:hanging="72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5" w15:restartNumberingAfterBreak="0">
    <w:nsid w:val="79811C39"/>
    <w:multiLevelType w:val="hybridMultilevel"/>
    <w:tmpl w:val="C0760288"/>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6" w15:restartNumberingAfterBreak="0">
    <w:nsid w:val="79EE618B"/>
    <w:multiLevelType w:val="hybridMultilevel"/>
    <w:tmpl w:val="B9BE2104"/>
    <w:lvl w:ilvl="0" w:tplc="040B0001">
      <w:start w:val="1"/>
      <w:numFmt w:val="bullet"/>
      <w:lvlText w:val=""/>
      <w:lvlJc w:val="left"/>
      <w:pPr>
        <w:ind w:left="780" w:hanging="360"/>
      </w:pPr>
      <w:rPr>
        <w:rFonts w:ascii="Symbol" w:hAnsi="Symbol" w:hint="default"/>
      </w:rPr>
    </w:lvl>
    <w:lvl w:ilvl="1" w:tplc="040B0003" w:tentative="1">
      <w:start w:val="1"/>
      <w:numFmt w:val="bullet"/>
      <w:lvlText w:val="o"/>
      <w:lvlJc w:val="left"/>
      <w:pPr>
        <w:ind w:left="1500" w:hanging="360"/>
      </w:pPr>
      <w:rPr>
        <w:rFonts w:ascii="Courier New" w:hAnsi="Courier New" w:cs="Courier New" w:hint="default"/>
      </w:rPr>
    </w:lvl>
    <w:lvl w:ilvl="2" w:tplc="040B0005" w:tentative="1">
      <w:start w:val="1"/>
      <w:numFmt w:val="bullet"/>
      <w:lvlText w:val=""/>
      <w:lvlJc w:val="left"/>
      <w:pPr>
        <w:ind w:left="2220" w:hanging="360"/>
      </w:pPr>
      <w:rPr>
        <w:rFonts w:ascii="Wingdings" w:hAnsi="Wingdings" w:hint="default"/>
      </w:rPr>
    </w:lvl>
    <w:lvl w:ilvl="3" w:tplc="040B0001" w:tentative="1">
      <w:start w:val="1"/>
      <w:numFmt w:val="bullet"/>
      <w:lvlText w:val=""/>
      <w:lvlJc w:val="left"/>
      <w:pPr>
        <w:ind w:left="2940" w:hanging="360"/>
      </w:pPr>
      <w:rPr>
        <w:rFonts w:ascii="Symbol" w:hAnsi="Symbol" w:hint="default"/>
      </w:rPr>
    </w:lvl>
    <w:lvl w:ilvl="4" w:tplc="040B0003" w:tentative="1">
      <w:start w:val="1"/>
      <w:numFmt w:val="bullet"/>
      <w:lvlText w:val="o"/>
      <w:lvlJc w:val="left"/>
      <w:pPr>
        <w:ind w:left="3660" w:hanging="360"/>
      </w:pPr>
      <w:rPr>
        <w:rFonts w:ascii="Courier New" w:hAnsi="Courier New" w:cs="Courier New" w:hint="default"/>
      </w:rPr>
    </w:lvl>
    <w:lvl w:ilvl="5" w:tplc="040B0005" w:tentative="1">
      <w:start w:val="1"/>
      <w:numFmt w:val="bullet"/>
      <w:lvlText w:val=""/>
      <w:lvlJc w:val="left"/>
      <w:pPr>
        <w:ind w:left="4380" w:hanging="360"/>
      </w:pPr>
      <w:rPr>
        <w:rFonts w:ascii="Wingdings" w:hAnsi="Wingdings" w:hint="default"/>
      </w:rPr>
    </w:lvl>
    <w:lvl w:ilvl="6" w:tplc="040B0001" w:tentative="1">
      <w:start w:val="1"/>
      <w:numFmt w:val="bullet"/>
      <w:lvlText w:val=""/>
      <w:lvlJc w:val="left"/>
      <w:pPr>
        <w:ind w:left="5100" w:hanging="360"/>
      </w:pPr>
      <w:rPr>
        <w:rFonts w:ascii="Symbol" w:hAnsi="Symbol" w:hint="default"/>
      </w:rPr>
    </w:lvl>
    <w:lvl w:ilvl="7" w:tplc="040B0003" w:tentative="1">
      <w:start w:val="1"/>
      <w:numFmt w:val="bullet"/>
      <w:lvlText w:val="o"/>
      <w:lvlJc w:val="left"/>
      <w:pPr>
        <w:ind w:left="5820" w:hanging="360"/>
      </w:pPr>
      <w:rPr>
        <w:rFonts w:ascii="Courier New" w:hAnsi="Courier New" w:cs="Courier New" w:hint="default"/>
      </w:rPr>
    </w:lvl>
    <w:lvl w:ilvl="8" w:tplc="040B0005" w:tentative="1">
      <w:start w:val="1"/>
      <w:numFmt w:val="bullet"/>
      <w:lvlText w:val=""/>
      <w:lvlJc w:val="left"/>
      <w:pPr>
        <w:ind w:left="6540" w:hanging="360"/>
      </w:pPr>
      <w:rPr>
        <w:rFonts w:ascii="Wingdings" w:hAnsi="Wingdings" w:hint="default"/>
      </w:rPr>
    </w:lvl>
  </w:abstractNum>
  <w:abstractNum w:abstractNumId="57" w15:restartNumberingAfterBreak="0">
    <w:nsid w:val="7A420E61"/>
    <w:multiLevelType w:val="hybridMultilevel"/>
    <w:tmpl w:val="B9A81AB4"/>
    <w:lvl w:ilvl="0" w:tplc="040B0001">
      <w:start w:val="1"/>
      <w:numFmt w:val="bullet"/>
      <w:lvlText w:val=""/>
      <w:lvlJc w:val="left"/>
      <w:pPr>
        <w:ind w:left="2024" w:hanging="360"/>
      </w:pPr>
      <w:rPr>
        <w:rFonts w:ascii="Symbol" w:hAnsi="Symbol" w:hint="default"/>
      </w:rPr>
    </w:lvl>
    <w:lvl w:ilvl="1" w:tplc="040B0003" w:tentative="1">
      <w:start w:val="1"/>
      <w:numFmt w:val="bullet"/>
      <w:lvlText w:val="o"/>
      <w:lvlJc w:val="left"/>
      <w:pPr>
        <w:ind w:left="2744" w:hanging="360"/>
      </w:pPr>
      <w:rPr>
        <w:rFonts w:ascii="Courier New" w:hAnsi="Courier New" w:cs="Courier New" w:hint="default"/>
      </w:rPr>
    </w:lvl>
    <w:lvl w:ilvl="2" w:tplc="040B0005" w:tentative="1">
      <w:start w:val="1"/>
      <w:numFmt w:val="bullet"/>
      <w:lvlText w:val=""/>
      <w:lvlJc w:val="left"/>
      <w:pPr>
        <w:ind w:left="3464" w:hanging="360"/>
      </w:pPr>
      <w:rPr>
        <w:rFonts w:ascii="Wingdings" w:hAnsi="Wingdings" w:hint="default"/>
      </w:rPr>
    </w:lvl>
    <w:lvl w:ilvl="3" w:tplc="040B0001" w:tentative="1">
      <w:start w:val="1"/>
      <w:numFmt w:val="bullet"/>
      <w:lvlText w:val=""/>
      <w:lvlJc w:val="left"/>
      <w:pPr>
        <w:ind w:left="4184" w:hanging="360"/>
      </w:pPr>
      <w:rPr>
        <w:rFonts w:ascii="Symbol" w:hAnsi="Symbol" w:hint="default"/>
      </w:rPr>
    </w:lvl>
    <w:lvl w:ilvl="4" w:tplc="040B0003" w:tentative="1">
      <w:start w:val="1"/>
      <w:numFmt w:val="bullet"/>
      <w:lvlText w:val="o"/>
      <w:lvlJc w:val="left"/>
      <w:pPr>
        <w:ind w:left="4904" w:hanging="360"/>
      </w:pPr>
      <w:rPr>
        <w:rFonts w:ascii="Courier New" w:hAnsi="Courier New" w:cs="Courier New" w:hint="default"/>
      </w:rPr>
    </w:lvl>
    <w:lvl w:ilvl="5" w:tplc="040B0005" w:tentative="1">
      <w:start w:val="1"/>
      <w:numFmt w:val="bullet"/>
      <w:lvlText w:val=""/>
      <w:lvlJc w:val="left"/>
      <w:pPr>
        <w:ind w:left="5624" w:hanging="360"/>
      </w:pPr>
      <w:rPr>
        <w:rFonts w:ascii="Wingdings" w:hAnsi="Wingdings" w:hint="default"/>
      </w:rPr>
    </w:lvl>
    <w:lvl w:ilvl="6" w:tplc="040B0001" w:tentative="1">
      <w:start w:val="1"/>
      <w:numFmt w:val="bullet"/>
      <w:lvlText w:val=""/>
      <w:lvlJc w:val="left"/>
      <w:pPr>
        <w:ind w:left="6344" w:hanging="360"/>
      </w:pPr>
      <w:rPr>
        <w:rFonts w:ascii="Symbol" w:hAnsi="Symbol" w:hint="default"/>
      </w:rPr>
    </w:lvl>
    <w:lvl w:ilvl="7" w:tplc="040B0003" w:tentative="1">
      <w:start w:val="1"/>
      <w:numFmt w:val="bullet"/>
      <w:lvlText w:val="o"/>
      <w:lvlJc w:val="left"/>
      <w:pPr>
        <w:ind w:left="7064" w:hanging="360"/>
      </w:pPr>
      <w:rPr>
        <w:rFonts w:ascii="Courier New" w:hAnsi="Courier New" w:cs="Courier New" w:hint="default"/>
      </w:rPr>
    </w:lvl>
    <w:lvl w:ilvl="8" w:tplc="040B0005" w:tentative="1">
      <w:start w:val="1"/>
      <w:numFmt w:val="bullet"/>
      <w:lvlText w:val=""/>
      <w:lvlJc w:val="left"/>
      <w:pPr>
        <w:ind w:left="7784" w:hanging="360"/>
      </w:pPr>
      <w:rPr>
        <w:rFonts w:ascii="Wingdings" w:hAnsi="Wingdings" w:hint="default"/>
      </w:rPr>
    </w:lvl>
  </w:abstractNum>
  <w:num w:numId="1" w16cid:durableId="1557425071">
    <w:abstractNumId w:val="32"/>
  </w:num>
  <w:num w:numId="2" w16cid:durableId="235558860">
    <w:abstractNumId w:val="24"/>
  </w:num>
  <w:num w:numId="3" w16cid:durableId="605817368">
    <w:abstractNumId w:val="0"/>
  </w:num>
  <w:num w:numId="4" w16cid:durableId="1101487586">
    <w:abstractNumId w:val="34"/>
  </w:num>
  <w:num w:numId="5" w16cid:durableId="1702240557">
    <w:abstractNumId w:val="35"/>
  </w:num>
  <w:num w:numId="6" w16cid:durableId="1638951514">
    <w:abstractNumId w:val="44"/>
  </w:num>
  <w:num w:numId="7" w16cid:durableId="1601379180">
    <w:abstractNumId w:val="9"/>
  </w:num>
  <w:num w:numId="8" w16cid:durableId="1353923639">
    <w:abstractNumId w:val="14"/>
  </w:num>
  <w:num w:numId="9" w16cid:durableId="887569428">
    <w:abstractNumId w:val="5"/>
  </w:num>
  <w:num w:numId="10" w16cid:durableId="1063528944">
    <w:abstractNumId w:val="53"/>
  </w:num>
  <w:num w:numId="11" w16cid:durableId="1155994714">
    <w:abstractNumId w:val="22"/>
  </w:num>
  <w:num w:numId="12" w16cid:durableId="2112046159">
    <w:abstractNumId w:val="50"/>
  </w:num>
  <w:num w:numId="13" w16cid:durableId="134567854">
    <w:abstractNumId w:val="1"/>
  </w:num>
  <w:num w:numId="14" w16cid:durableId="487210852">
    <w:abstractNumId w:val="15"/>
  </w:num>
  <w:num w:numId="15" w16cid:durableId="1394935527">
    <w:abstractNumId w:val="19"/>
  </w:num>
  <w:num w:numId="16" w16cid:durableId="1538196958">
    <w:abstractNumId w:val="33"/>
  </w:num>
  <w:num w:numId="17" w16cid:durableId="1869878342">
    <w:abstractNumId w:val="21"/>
  </w:num>
  <w:num w:numId="18" w16cid:durableId="1513451620">
    <w:abstractNumId w:val="56"/>
  </w:num>
  <w:num w:numId="19" w16cid:durableId="1143694071">
    <w:abstractNumId w:val="57"/>
  </w:num>
  <w:num w:numId="20" w16cid:durableId="2026974944">
    <w:abstractNumId w:val="42"/>
  </w:num>
  <w:num w:numId="21" w16cid:durableId="1570771237">
    <w:abstractNumId w:val="37"/>
  </w:num>
  <w:num w:numId="22" w16cid:durableId="1308432536">
    <w:abstractNumId w:val="48"/>
  </w:num>
  <w:num w:numId="23" w16cid:durableId="767628201">
    <w:abstractNumId w:val="52"/>
  </w:num>
  <w:num w:numId="24" w16cid:durableId="784273612">
    <w:abstractNumId w:val="13"/>
  </w:num>
  <w:num w:numId="25" w16cid:durableId="1207454322">
    <w:abstractNumId w:val="26"/>
  </w:num>
  <w:num w:numId="26" w16cid:durableId="1804422464">
    <w:abstractNumId w:val="40"/>
  </w:num>
  <w:num w:numId="27" w16cid:durableId="428157290">
    <w:abstractNumId w:val="3"/>
  </w:num>
  <w:num w:numId="28" w16cid:durableId="945774610">
    <w:abstractNumId w:val="25"/>
  </w:num>
  <w:num w:numId="29" w16cid:durableId="2043164959">
    <w:abstractNumId w:val="27"/>
  </w:num>
  <w:num w:numId="30" w16cid:durableId="314259788">
    <w:abstractNumId w:val="36"/>
  </w:num>
  <w:num w:numId="31" w16cid:durableId="1747067518">
    <w:abstractNumId w:val="12"/>
  </w:num>
  <w:num w:numId="32" w16cid:durableId="1321421095">
    <w:abstractNumId w:val="30"/>
  </w:num>
  <w:num w:numId="33" w16cid:durableId="435366863">
    <w:abstractNumId w:val="8"/>
  </w:num>
  <w:num w:numId="34" w16cid:durableId="1140732740">
    <w:abstractNumId w:val="31"/>
  </w:num>
  <w:num w:numId="35" w16cid:durableId="152600270">
    <w:abstractNumId w:val="34"/>
  </w:num>
  <w:num w:numId="36" w16cid:durableId="1333684649">
    <w:abstractNumId w:val="38"/>
  </w:num>
  <w:num w:numId="37" w16cid:durableId="663314083">
    <w:abstractNumId w:val="11"/>
  </w:num>
  <w:num w:numId="38" w16cid:durableId="1277059370">
    <w:abstractNumId w:val="7"/>
  </w:num>
  <w:num w:numId="39" w16cid:durableId="866793705">
    <w:abstractNumId w:val="34"/>
  </w:num>
  <w:num w:numId="40" w16cid:durableId="1983582534">
    <w:abstractNumId w:val="51"/>
  </w:num>
  <w:num w:numId="41" w16cid:durableId="318965706">
    <w:abstractNumId w:val="17"/>
  </w:num>
  <w:num w:numId="42" w16cid:durableId="698894969">
    <w:abstractNumId w:val="6"/>
  </w:num>
  <w:num w:numId="43" w16cid:durableId="1003439819">
    <w:abstractNumId w:val="45"/>
  </w:num>
  <w:num w:numId="44" w16cid:durableId="1257133414">
    <w:abstractNumId w:val="16"/>
  </w:num>
  <w:num w:numId="45" w16cid:durableId="285505332">
    <w:abstractNumId w:val="46"/>
  </w:num>
  <w:num w:numId="46" w16cid:durableId="497816126">
    <w:abstractNumId w:val="55"/>
  </w:num>
  <w:num w:numId="47" w16cid:durableId="146867124">
    <w:abstractNumId w:val="20"/>
  </w:num>
  <w:num w:numId="48" w16cid:durableId="1309282801">
    <w:abstractNumId w:val="24"/>
  </w:num>
  <w:num w:numId="49" w16cid:durableId="59255296">
    <w:abstractNumId w:val="10"/>
  </w:num>
  <w:num w:numId="50" w16cid:durableId="2015917464">
    <w:abstractNumId w:val="24"/>
  </w:num>
  <w:num w:numId="51" w16cid:durableId="102772269">
    <w:abstractNumId w:val="49"/>
  </w:num>
  <w:num w:numId="52" w16cid:durableId="506216678">
    <w:abstractNumId w:val="39"/>
  </w:num>
  <w:num w:numId="53" w16cid:durableId="614293764">
    <w:abstractNumId w:val="18"/>
  </w:num>
  <w:num w:numId="54" w16cid:durableId="596523134">
    <w:abstractNumId w:val="34"/>
  </w:num>
  <w:num w:numId="55" w16cid:durableId="1098674986">
    <w:abstractNumId w:val="24"/>
  </w:num>
  <w:num w:numId="56" w16cid:durableId="1816020771">
    <w:abstractNumId w:val="34"/>
  </w:num>
  <w:num w:numId="57" w16cid:durableId="12924395">
    <w:abstractNumId w:val="41"/>
  </w:num>
  <w:num w:numId="58" w16cid:durableId="1085758239">
    <w:abstractNumId w:val="34"/>
  </w:num>
  <w:num w:numId="59" w16cid:durableId="339626731">
    <w:abstractNumId w:val="29"/>
  </w:num>
  <w:num w:numId="60" w16cid:durableId="712273361">
    <w:abstractNumId w:val="2"/>
  </w:num>
  <w:num w:numId="61" w16cid:durableId="1576813963">
    <w:abstractNumId w:val="23"/>
  </w:num>
  <w:num w:numId="62" w16cid:durableId="1967275916">
    <w:abstractNumId w:val="47"/>
  </w:num>
  <w:num w:numId="63" w16cid:durableId="449670879">
    <w:abstractNumId w:val="54"/>
  </w:num>
  <w:num w:numId="64" w16cid:durableId="1795563264">
    <w:abstractNumId w:val="34"/>
  </w:num>
  <w:num w:numId="65" w16cid:durableId="985940275">
    <w:abstractNumId w:val="24"/>
  </w:num>
  <w:num w:numId="66" w16cid:durableId="1221557377">
    <w:abstractNumId w:val="28"/>
  </w:num>
  <w:num w:numId="67" w16cid:durableId="630481566">
    <w:abstractNumId w:val="24"/>
  </w:num>
  <w:num w:numId="68" w16cid:durableId="1513834222">
    <w:abstractNumId w:val="4"/>
  </w:num>
  <w:num w:numId="69" w16cid:durableId="251554374">
    <w:abstractNumId w:val="4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s-ES" w:vendorID="64" w:dllVersion="0" w:nlCheck="1" w:checkStyle="0"/>
  <w:activeWritingStyle w:appName="MSWord" w:lang="en-AU" w:vendorID="64" w:dllVersion="0" w:nlCheck="1" w:checkStyle="0"/>
  <w:activeWritingStyle w:appName="MSWord" w:lang="sv-SE" w:vendorID="64" w:dllVersion="0" w:nlCheck="1" w:checkStyle="0"/>
  <w:activeWritingStyle w:appName="MSWord" w:lang="fi-FI"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335"/>
    <w:rsid w:val="00000543"/>
    <w:rsid w:val="000006E1"/>
    <w:rsid w:val="00001039"/>
    <w:rsid w:val="0000143F"/>
    <w:rsid w:val="00001C5A"/>
    <w:rsid w:val="000026FE"/>
    <w:rsid w:val="00002A37"/>
    <w:rsid w:val="00002DDD"/>
    <w:rsid w:val="00003F18"/>
    <w:rsid w:val="00003F5A"/>
    <w:rsid w:val="00005413"/>
    <w:rsid w:val="0000564C"/>
    <w:rsid w:val="00005E75"/>
    <w:rsid w:val="000062FB"/>
    <w:rsid w:val="00006446"/>
    <w:rsid w:val="00006896"/>
    <w:rsid w:val="00006D0E"/>
    <w:rsid w:val="00007780"/>
    <w:rsid w:val="00007CC2"/>
    <w:rsid w:val="00007CDC"/>
    <w:rsid w:val="0001091F"/>
    <w:rsid w:val="00010FB5"/>
    <w:rsid w:val="000116C3"/>
    <w:rsid w:val="00011B28"/>
    <w:rsid w:val="00013736"/>
    <w:rsid w:val="00013A36"/>
    <w:rsid w:val="00013C35"/>
    <w:rsid w:val="00014179"/>
    <w:rsid w:val="0001426C"/>
    <w:rsid w:val="0001511D"/>
    <w:rsid w:val="00015D15"/>
    <w:rsid w:val="00017501"/>
    <w:rsid w:val="00017590"/>
    <w:rsid w:val="000201EA"/>
    <w:rsid w:val="000212A7"/>
    <w:rsid w:val="00021424"/>
    <w:rsid w:val="00021E10"/>
    <w:rsid w:val="000231FC"/>
    <w:rsid w:val="000253B2"/>
    <w:rsid w:val="0002564D"/>
    <w:rsid w:val="000257DB"/>
    <w:rsid w:val="00025ECA"/>
    <w:rsid w:val="00025FB4"/>
    <w:rsid w:val="00031482"/>
    <w:rsid w:val="00031974"/>
    <w:rsid w:val="000325B8"/>
    <w:rsid w:val="00033091"/>
    <w:rsid w:val="00033518"/>
    <w:rsid w:val="00034602"/>
    <w:rsid w:val="00034C15"/>
    <w:rsid w:val="000352A0"/>
    <w:rsid w:val="000357DC"/>
    <w:rsid w:val="000361E9"/>
    <w:rsid w:val="00036BA1"/>
    <w:rsid w:val="000372A9"/>
    <w:rsid w:val="000373A9"/>
    <w:rsid w:val="00037B81"/>
    <w:rsid w:val="0004071E"/>
    <w:rsid w:val="00040DEF"/>
    <w:rsid w:val="00041390"/>
    <w:rsid w:val="000422E2"/>
    <w:rsid w:val="000425E0"/>
    <w:rsid w:val="00042F22"/>
    <w:rsid w:val="000442E9"/>
    <w:rsid w:val="00044424"/>
    <w:rsid w:val="0004446D"/>
    <w:rsid w:val="000444EF"/>
    <w:rsid w:val="00045F1F"/>
    <w:rsid w:val="00046402"/>
    <w:rsid w:val="00046764"/>
    <w:rsid w:val="00052A07"/>
    <w:rsid w:val="000530A7"/>
    <w:rsid w:val="000534E3"/>
    <w:rsid w:val="0005355A"/>
    <w:rsid w:val="00055E4E"/>
    <w:rsid w:val="0005606A"/>
    <w:rsid w:val="00057117"/>
    <w:rsid w:val="0005794E"/>
    <w:rsid w:val="00060217"/>
    <w:rsid w:val="0006082D"/>
    <w:rsid w:val="00060A6B"/>
    <w:rsid w:val="000616E7"/>
    <w:rsid w:val="0006487E"/>
    <w:rsid w:val="00064AF6"/>
    <w:rsid w:val="00065665"/>
    <w:rsid w:val="00065E1A"/>
    <w:rsid w:val="00065EC1"/>
    <w:rsid w:val="00066A41"/>
    <w:rsid w:val="00067DB3"/>
    <w:rsid w:val="00070E2E"/>
    <w:rsid w:val="00070E8D"/>
    <w:rsid w:val="00071F4D"/>
    <w:rsid w:val="00072360"/>
    <w:rsid w:val="000725CE"/>
    <w:rsid w:val="000727FD"/>
    <w:rsid w:val="0007392B"/>
    <w:rsid w:val="000750A1"/>
    <w:rsid w:val="00075B69"/>
    <w:rsid w:val="000760FC"/>
    <w:rsid w:val="0007688E"/>
    <w:rsid w:val="000770ED"/>
    <w:rsid w:val="00077B65"/>
    <w:rsid w:val="00077E5F"/>
    <w:rsid w:val="000800C0"/>
    <w:rsid w:val="0008036A"/>
    <w:rsid w:val="000803BF"/>
    <w:rsid w:val="00080D94"/>
    <w:rsid w:val="0008180E"/>
    <w:rsid w:val="00081AE6"/>
    <w:rsid w:val="00081C10"/>
    <w:rsid w:val="00084227"/>
    <w:rsid w:val="000855C7"/>
    <w:rsid w:val="000855EB"/>
    <w:rsid w:val="00085B52"/>
    <w:rsid w:val="000866F2"/>
    <w:rsid w:val="0008693D"/>
    <w:rsid w:val="00086EC4"/>
    <w:rsid w:val="000874AD"/>
    <w:rsid w:val="0008777B"/>
    <w:rsid w:val="0009009F"/>
    <w:rsid w:val="00090559"/>
    <w:rsid w:val="000907DE"/>
    <w:rsid w:val="00091209"/>
    <w:rsid w:val="00091483"/>
    <w:rsid w:val="00091557"/>
    <w:rsid w:val="00092474"/>
    <w:rsid w:val="000924C1"/>
    <w:rsid w:val="000924F0"/>
    <w:rsid w:val="000931B7"/>
    <w:rsid w:val="00093474"/>
    <w:rsid w:val="00093E6F"/>
    <w:rsid w:val="0009510F"/>
    <w:rsid w:val="000959A5"/>
    <w:rsid w:val="000959F3"/>
    <w:rsid w:val="0009691F"/>
    <w:rsid w:val="0009788E"/>
    <w:rsid w:val="00097C1C"/>
    <w:rsid w:val="000A04FC"/>
    <w:rsid w:val="000A0C58"/>
    <w:rsid w:val="000A1B7B"/>
    <w:rsid w:val="000A2592"/>
    <w:rsid w:val="000A30E0"/>
    <w:rsid w:val="000A31DE"/>
    <w:rsid w:val="000A426F"/>
    <w:rsid w:val="000A4565"/>
    <w:rsid w:val="000A56F2"/>
    <w:rsid w:val="000A57D5"/>
    <w:rsid w:val="000A6602"/>
    <w:rsid w:val="000B0A7B"/>
    <w:rsid w:val="000B0B9F"/>
    <w:rsid w:val="000B1058"/>
    <w:rsid w:val="000B1D58"/>
    <w:rsid w:val="000B2719"/>
    <w:rsid w:val="000B3156"/>
    <w:rsid w:val="000B3548"/>
    <w:rsid w:val="000B3A8F"/>
    <w:rsid w:val="000B3D64"/>
    <w:rsid w:val="000B4407"/>
    <w:rsid w:val="000B44A6"/>
    <w:rsid w:val="000B490D"/>
    <w:rsid w:val="000B4AB9"/>
    <w:rsid w:val="000B4B05"/>
    <w:rsid w:val="000B5761"/>
    <w:rsid w:val="000B58C3"/>
    <w:rsid w:val="000B612A"/>
    <w:rsid w:val="000B61E9"/>
    <w:rsid w:val="000B6682"/>
    <w:rsid w:val="000B66CF"/>
    <w:rsid w:val="000C165A"/>
    <w:rsid w:val="000C274C"/>
    <w:rsid w:val="000C2935"/>
    <w:rsid w:val="000C2E19"/>
    <w:rsid w:val="000C323E"/>
    <w:rsid w:val="000C45E2"/>
    <w:rsid w:val="000C4883"/>
    <w:rsid w:val="000C49C1"/>
    <w:rsid w:val="000C613D"/>
    <w:rsid w:val="000C6B77"/>
    <w:rsid w:val="000C6F70"/>
    <w:rsid w:val="000D0053"/>
    <w:rsid w:val="000D04DC"/>
    <w:rsid w:val="000D0D07"/>
    <w:rsid w:val="000D0F95"/>
    <w:rsid w:val="000D2608"/>
    <w:rsid w:val="000D27C6"/>
    <w:rsid w:val="000D2D92"/>
    <w:rsid w:val="000D30B4"/>
    <w:rsid w:val="000D4797"/>
    <w:rsid w:val="000D5017"/>
    <w:rsid w:val="000D603F"/>
    <w:rsid w:val="000D7CD7"/>
    <w:rsid w:val="000E0527"/>
    <w:rsid w:val="000E1E92"/>
    <w:rsid w:val="000E2928"/>
    <w:rsid w:val="000E409B"/>
    <w:rsid w:val="000E55D6"/>
    <w:rsid w:val="000E77E3"/>
    <w:rsid w:val="000E7826"/>
    <w:rsid w:val="000F022F"/>
    <w:rsid w:val="000F06D6"/>
    <w:rsid w:val="000F0EB1"/>
    <w:rsid w:val="000F1106"/>
    <w:rsid w:val="000F13D9"/>
    <w:rsid w:val="000F284E"/>
    <w:rsid w:val="000F3A93"/>
    <w:rsid w:val="000F3BE9"/>
    <w:rsid w:val="000F3F6C"/>
    <w:rsid w:val="000F472D"/>
    <w:rsid w:val="000F4805"/>
    <w:rsid w:val="000F60A6"/>
    <w:rsid w:val="000F6293"/>
    <w:rsid w:val="000F6902"/>
    <w:rsid w:val="000F6DF3"/>
    <w:rsid w:val="001005FF"/>
    <w:rsid w:val="00100F1F"/>
    <w:rsid w:val="001016F5"/>
    <w:rsid w:val="00102A14"/>
    <w:rsid w:val="00102AF3"/>
    <w:rsid w:val="00103EC3"/>
    <w:rsid w:val="001059D2"/>
    <w:rsid w:val="001062FB"/>
    <w:rsid w:val="001063E6"/>
    <w:rsid w:val="00106D3B"/>
    <w:rsid w:val="00107364"/>
    <w:rsid w:val="0010779D"/>
    <w:rsid w:val="001108D3"/>
    <w:rsid w:val="0011289D"/>
    <w:rsid w:val="00112F59"/>
    <w:rsid w:val="00113CF4"/>
    <w:rsid w:val="00114674"/>
    <w:rsid w:val="001153EA"/>
    <w:rsid w:val="00115643"/>
    <w:rsid w:val="00115D9A"/>
    <w:rsid w:val="00116765"/>
    <w:rsid w:val="00116B52"/>
    <w:rsid w:val="00116FF0"/>
    <w:rsid w:val="001172AD"/>
    <w:rsid w:val="0011792D"/>
    <w:rsid w:val="00117A2B"/>
    <w:rsid w:val="0012109E"/>
    <w:rsid w:val="001212D5"/>
    <w:rsid w:val="001219F5"/>
    <w:rsid w:val="00121A20"/>
    <w:rsid w:val="00121A29"/>
    <w:rsid w:val="0012277E"/>
    <w:rsid w:val="00123409"/>
    <w:rsid w:val="0012377F"/>
    <w:rsid w:val="00123CE9"/>
    <w:rsid w:val="00123DAE"/>
    <w:rsid w:val="00124314"/>
    <w:rsid w:val="00126B4A"/>
    <w:rsid w:val="00126DEE"/>
    <w:rsid w:val="00127A0B"/>
    <w:rsid w:val="0013054E"/>
    <w:rsid w:val="00130E8C"/>
    <w:rsid w:val="00131196"/>
    <w:rsid w:val="001311F7"/>
    <w:rsid w:val="00132BFD"/>
    <w:rsid w:val="00132F88"/>
    <w:rsid w:val="00132FD0"/>
    <w:rsid w:val="001344C0"/>
    <w:rsid w:val="001346FA"/>
    <w:rsid w:val="00134E33"/>
    <w:rsid w:val="00135252"/>
    <w:rsid w:val="001374C6"/>
    <w:rsid w:val="00137578"/>
    <w:rsid w:val="00137AB5"/>
    <w:rsid w:val="00137F0B"/>
    <w:rsid w:val="00140167"/>
    <w:rsid w:val="001410CC"/>
    <w:rsid w:val="001413A0"/>
    <w:rsid w:val="001419A2"/>
    <w:rsid w:val="001419D5"/>
    <w:rsid w:val="001420A8"/>
    <w:rsid w:val="00142306"/>
    <w:rsid w:val="001438C7"/>
    <w:rsid w:val="0014395B"/>
    <w:rsid w:val="0014404A"/>
    <w:rsid w:val="0014419D"/>
    <w:rsid w:val="00144601"/>
    <w:rsid w:val="001455B1"/>
    <w:rsid w:val="00146E84"/>
    <w:rsid w:val="00150807"/>
    <w:rsid w:val="00151B5B"/>
    <w:rsid w:val="00151CAC"/>
    <w:rsid w:val="00151E23"/>
    <w:rsid w:val="0015265F"/>
    <w:rsid w:val="001526E0"/>
    <w:rsid w:val="00152987"/>
    <w:rsid w:val="001551B5"/>
    <w:rsid w:val="001552CD"/>
    <w:rsid w:val="00155645"/>
    <w:rsid w:val="00156A9B"/>
    <w:rsid w:val="00156DFC"/>
    <w:rsid w:val="00161BDF"/>
    <w:rsid w:val="00163C54"/>
    <w:rsid w:val="001641DD"/>
    <w:rsid w:val="00164755"/>
    <w:rsid w:val="0016483D"/>
    <w:rsid w:val="00164D31"/>
    <w:rsid w:val="001659C1"/>
    <w:rsid w:val="00165E5D"/>
    <w:rsid w:val="00166B8F"/>
    <w:rsid w:val="00167C33"/>
    <w:rsid w:val="00167D90"/>
    <w:rsid w:val="001704F8"/>
    <w:rsid w:val="0017094D"/>
    <w:rsid w:val="00170AC1"/>
    <w:rsid w:val="001712E7"/>
    <w:rsid w:val="00171ADC"/>
    <w:rsid w:val="001723ED"/>
    <w:rsid w:val="00172781"/>
    <w:rsid w:val="00173238"/>
    <w:rsid w:val="00173A8E"/>
    <w:rsid w:val="00174892"/>
    <w:rsid w:val="0017502C"/>
    <w:rsid w:val="001771CE"/>
    <w:rsid w:val="0018081F"/>
    <w:rsid w:val="00180D46"/>
    <w:rsid w:val="00181054"/>
    <w:rsid w:val="00181389"/>
    <w:rsid w:val="0018143F"/>
    <w:rsid w:val="00181FF8"/>
    <w:rsid w:val="0018245A"/>
    <w:rsid w:val="00183354"/>
    <w:rsid w:val="00183A52"/>
    <w:rsid w:val="0018585E"/>
    <w:rsid w:val="001858A3"/>
    <w:rsid w:val="001861EA"/>
    <w:rsid w:val="001876EB"/>
    <w:rsid w:val="00190AC1"/>
    <w:rsid w:val="00190D84"/>
    <w:rsid w:val="00190F3A"/>
    <w:rsid w:val="00191BC9"/>
    <w:rsid w:val="00191BDD"/>
    <w:rsid w:val="00192D65"/>
    <w:rsid w:val="0019341A"/>
    <w:rsid w:val="00194389"/>
    <w:rsid w:val="0019473F"/>
    <w:rsid w:val="00194E14"/>
    <w:rsid w:val="00195755"/>
    <w:rsid w:val="001963D5"/>
    <w:rsid w:val="0019662D"/>
    <w:rsid w:val="00196DB9"/>
    <w:rsid w:val="0019702B"/>
    <w:rsid w:val="00197493"/>
    <w:rsid w:val="001976BC"/>
    <w:rsid w:val="00197DF9"/>
    <w:rsid w:val="001A0F3D"/>
    <w:rsid w:val="001A1987"/>
    <w:rsid w:val="001A2564"/>
    <w:rsid w:val="001A26BD"/>
    <w:rsid w:val="001A3001"/>
    <w:rsid w:val="001A5286"/>
    <w:rsid w:val="001A5951"/>
    <w:rsid w:val="001A5BDC"/>
    <w:rsid w:val="001A6173"/>
    <w:rsid w:val="001A68C1"/>
    <w:rsid w:val="001A6949"/>
    <w:rsid w:val="001A6A7F"/>
    <w:rsid w:val="001A6CBA"/>
    <w:rsid w:val="001A6E3F"/>
    <w:rsid w:val="001A7348"/>
    <w:rsid w:val="001A771D"/>
    <w:rsid w:val="001B0D97"/>
    <w:rsid w:val="001B0DA0"/>
    <w:rsid w:val="001B178E"/>
    <w:rsid w:val="001B2987"/>
    <w:rsid w:val="001B31AE"/>
    <w:rsid w:val="001B3231"/>
    <w:rsid w:val="001B38B5"/>
    <w:rsid w:val="001B460C"/>
    <w:rsid w:val="001B4907"/>
    <w:rsid w:val="001B5640"/>
    <w:rsid w:val="001B585A"/>
    <w:rsid w:val="001B5A5D"/>
    <w:rsid w:val="001C0154"/>
    <w:rsid w:val="001C07A4"/>
    <w:rsid w:val="001C1CE5"/>
    <w:rsid w:val="001C3D07"/>
    <w:rsid w:val="001C3D2A"/>
    <w:rsid w:val="001C4327"/>
    <w:rsid w:val="001C4BAA"/>
    <w:rsid w:val="001C4CCC"/>
    <w:rsid w:val="001C53AD"/>
    <w:rsid w:val="001C5FF4"/>
    <w:rsid w:val="001C6FCC"/>
    <w:rsid w:val="001C71B6"/>
    <w:rsid w:val="001D11BB"/>
    <w:rsid w:val="001D20C7"/>
    <w:rsid w:val="001D3797"/>
    <w:rsid w:val="001D51BA"/>
    <w:rsid w:val="001D53E7"/>
    <w:rsid w:val="001D5600"/>
    <w:rsid w:val="001D6195"/>
    <w:rsid w:val="001D6342"/>
    <w:rsid w:val="001D646C"/>
    <w:rsid w:val="001D6D53"/>
    <w:rsid w:val="001D70E8"/>
    <w:rsid w:val="001E042B"/>
    <w:rsid w:val="001E0604"/>
    <w:rsid w:val="001E078B"/>
    <w:rsid w:val="001E1E0C"/>
    <w:rsid w:val="001E2BCE"/>
    <w:rsid w:val="001E3D7C"/>
    <w:rsid w:val="001E4895"/>
    <w:rsid w:val="001E58A0"/>
    <w:rsid w:val="001E58E2"/>
    <w:rsid w:val="001E6625"/>
    <w:rsid w:val="001E7AED"/>
    <w:rsid w:val="001F029B"/>
    <w:rsid w:val="001F0791"/>
    <w:rsid w:val="001F0A91"/>
    <w:rsid w:val="001F0ACD"/>
    <w:rsid w:val="001F328D"/>
    <w:rsid w:val="001F3916"/>
    <w:rsid w:val="001F434B"/>
    <w:rsid w:val="001F54C5"/>
    <w:rsid w:val="001F662C"/>
    <w:rsid w:val="001F7074"/>
    <w:rsid w:val="001F73E9"/>
    <w:rsid w:val="0020014F"/>
    <w:rsid w:val="00200490"/>
    <w:rsid w:val="002015BA"/>
    <w:rsid w:val="00201F3A"/>
    <w:rsid w:val="00202860"/>
    <w:rsid w:val="00202BB8"/>
    <w:rsid w:val="00202D3C"/>
    <w:rsid w:val="00203F96"/>
    <w:rsid w:val="00205CDB"/>
    <w:rsid w:val="002063E9"/>
    <w:rsid w:val="002069B2"/>
    <w:rsid w:val="002070B4"/>
    <w:rsid w:val="00207FA3"/>
    <w:rsid w:val="00210946"/>
    <w:rsid w:val="002119EB"/>
    <w:rsid w:val="0021332E"/>
    <w:rsid w:val="00214DA8"/>
    <w:rsid w:val="00214E3B"/>
    <w:rsid w:val="00215423"/>
    <w:rsid w:val="002158FA"/>
    <w:rsid w:val="00215B28"/>
    <w:rsid w:val="00220143"/>
    <w:rsid w:val="00220245"/>
    <w:rsid w:val="00220600"/>
    <w:rsid w:val="00221077"/>
    <w:rsid w:val="002224DB"/>
    <w:rsid w:val="00223FCB"/>
    <w:rsid w:val="00224A86"/>
    <w:rsid w:val="0022507C"/>
    <w:rsid w:val="002252C3"/>
    <w:rsid w:val="00225C54"/>
    <w:rsid w:val="00227442"/>
    <w:rsid w:val="00230765"/>
    <w:rsid w:val="00230C9D"/>
    <w:rsid w:val="00230D18"/>
    <w:rsid w:val="002317BD"/>
    <w:rsid w:val="002319E4"/>
    <w:rsid w:val="00232528"/>
    <w:rsid w:val="002329BC"/>
    <w:rsid w:val="00232BF4"/>
    <w:rsid w:val="0023394F"/>
    <w:rsid w:val="002342FC"/>
    <w:rsid w:val="002351D3"/>
    <w:rsid w:val="00235632"/>
    <w:rsid w:val="00235872"/>
    <w:rsid w:val="00236808"/>
    <w:rsid w:val="002368D6"/>
    <w:rsid w:val="002402D5"/>
    <w:rsid w:val="00241559"/>
    <w:rsid w:val="00241B42"/>
    <w:rsid w:val="00241DDB"/>
    <w:rsid w:val="002435B3"/>
    <w:rsid w:val="00244893"/>
    <w:rsid w:val="00244EF3"/>
    <w:rsid w:val="0024519E"/>
    <w:rsid w:val="002458EB"/>
    <w:rsid w:val="00245B9A"/>
    <w:rsid w:val="00247B0E"/>
    <w:rsid w:val="002500C8"/>
    <w:rsid w:val="0025016C"/>
    <w:rsid w:val="00251DE6"/>
    <w:rsid w:val="00252440"/>
    <w:rsid w:val="00252DE0"/>
    <w:rsid w:val="002536F0"/>
    <w:rsid w:val="00253FD1"/>
    <w:rsid w:val="002541D7"/>
    <w:rsid w:val="00254898"/>
    <w:rsid w:val="002548FE"/>
    <w:rsid w:val="00256AD4"/>
    <w:rsid w:val="002570CB"/>
    <w:rsid w:val="00257543"/>
    <w:rsid w:val="0026091A"/>
    <w:rsid w:val="002617E7"/>
    <w:rsid w:val="0026191F"/>
    <w:rsid w:val="0026199B"/>
    <w:rsid w:val="002626A0"/>
    <w:rsid w:val="0026298B"/>
    <w:rsid w:val="00263301"/>
    <w:rsid w:val="00264228"/>
    <w:rsid w:val="00264250"/>
    <w:rsid w:val="00264334"/>
    <w:rsid w:val="0026473E"/>
    <w:rsid w:val="00264B0C"/>
    <w:rsid w:val="00264B1F"/>
    <w:rsid w:val="00264E42"/>
    <w:rsid w:val="00264EC3"/>
    <w:rsid w:val="0026533C"/>
    <w:rsid w:val="00265B7E"/>
    <w:rsid w:val="00266016"/>
    <w:rsid w:val="00266214"/>
    <w:rsid w:val="002662A3"/>
    <w:rsid w:val="00266655"/>
    <w:rsid w:val="002668EA"/>
    <w:rsid w:val="00266941"/>
    <w:rsid w:val="00266D27"/>
    <w:rsid w:val="00267432"/>
    <w:rsid w:val="0026751C"/>
    <w:rsid w:val="00267B0D"/>
    <w:rsid w:val="00267C83"/>
    <w:rsid w:val="00267E1A"/>
    <w:rsid w:val="0027078F"/>
    <w:rsid w:val="0027144F"/>
    <w:rsid w:val="00271813"/>
    <w:rsid w:val="0027197F"/>
    <w:rsid w:val="00271F3A"/>
    <w:rsid w:val="00273278"/>
    <w:rsid w:val="002737F4"/>
    <w:rsid w:val="00273805"/>
    <w:rsid w:val="002749BE"/>
    <w:rsid w:val="00274F8B"/>
    <w:rsid w:val="002765C7"/>
    <w:rsid w:val="00277978"/>
    <w:rsid w:val="002805F5"/>
    <w:rsid w:val="00280751"/>
    <w:rsid w:val="00280795"/>
    <w:rsid w:val="00280833"/>
    <w:rsid w:val="0028280A"/>
    <w:rsid w:val="00284D1B"/>
    <w:rsid w:val="002867C1"/>
    <w:rsid w:val="00286ACD"/>
    <w:rsid w:val="002873FA"/>
    <w:rsid w:val="00287838"/>
    <w:rsid w:val="0029003D"/>
    <w:rsid w:val="002907B5"/>
    <w:rsid w:val="00290D3D"/>
    <w:rsid w:val="00291058"/>
    <w:rsid w:val="00291EC3"/>
    <w:rsid w:val="00291FE1"/>
    <w:rsid w:val="00292990"/>
    <w:rsid w:val="00292AFB"/>
    <w:rsid w:val="00292D10"/>
    <w:rsid w:val="00292EB7"/>
    <w:rsid w:val="00293CBA"/>
    <w:rsid w:val="00293D53"/>
    <w:rsid w:val="0029493E"/>
    <w:rsid w:val="00296227"/>
    <w:rsid w:val="00296F44"/>
    <w:rsid w:val="0029777D"/>
    <w:rsid w:val="00297D37"/>
    <w:rsid w:val="002A03FB"/>
    <w:rsid w:val="002A0549"/>
    <w:rsid w:val="002A055E"/>
    <w:rsid w:val="002A05A2"/>
    <w:rsid w:val="002A07DA"/>
    <w:rsid w:val="002A0CEA"/>
    <w:rsid w:val="002A1D4E"/>
    <w:rsid w:val="002A2328"/>
    <w:rsid w:val="002A2869"/>
    <w:rsid w:val="002A2D64"/>
    <w:rsid w:val="002A30D4"/>
    <w:rsid w:val="002A3234"/>
    <w:rsid w:val="002A37F0"/>
    <w:rsid w:val="002A4035"/>
    <w:rsid w:val="002A4418"/>
    <w:rsid w:val="002A5BD4"/>
    <w:rsid w:val="002A653F"/>
    <w:rsid w:val="002A6E1D"/>
    <w:rsid w:val="002A6F67"/>
    <w:rsid w:val="002A75D0"/>
    <w:rsid w:val="002A76A8"/>
    <w:rsid w:val="002B0C5B"/>
    <w:rsid w:val="002B15B3"/>
    <w:rsid w:val="002B18EB"/>
    <w:rsid w:val="002B199F"/>
    <w:rsid w:val="002B24D6"/>
    <w:rsid w:val="002B3831"/>
    <w:rsid w:val="002B44EB"/>
    <w:rsid w:val="002B507C"/>
    <w:rsid w:val="002B50A4"/>
    <w:rsid w:val="002B54F2"/>
    <w:rsid w:val="002B56A5"/>
    <w:rsid w:val="002B60B1"/>
    <w:rsid w:val="002B69BA"/>
    <w:rsid w:val="002C013E"/>
    <w:rsid w:val="002C0363"/>
    <w:rsid w:val="002C0409"/>
    <w:rsid w:val="002C3442"/>
    <w:rsid w:val="002C344D"/>
    <w:rsid w:val="002C3703"/>
    <w:rsid w:val="002C3894"/>
    <w:rsid w:val="002C41E6"/>
    <w:rsid w:val="002C5D48"/>
    <w:rsid w:val="002C6244"/>
    <w:rsid w:val="002C73E8"/>
    <w:rsid w:val="002D071A"/>
    <w:rsid w:val="002D07DB"/>
    <w:rsid w:val="002D1969"/>
    <w:rsid w:val="002D19EB"/>
    <w:rsid w:val="002D1CAA"/>
    <w:rsid w:val="002D2299"/>
    <w:rsid w:val="002D240C"/>
    <w:rsid w:val="002D2D33"/>
    <w:rsid w:val="002D34B2"/>
    <w:rsid w:val="002D48B0"/>
    <w:rsid w:val="002D5075"/>
    <w:rsid w:val="002D5B37"/>
    <w:rsid w:val="002D62B8"/>
    <w:rsid w:val="002D6AD5"/>
    <w:rsid w:val="002D7637"/>
    <w:rsid w:val="002E0232"/>
    <w:rsid w:val="002E0263"/>
    <w:rsid w:val="002E14C1"/>
    <w:rsid w:val="002E17F2"/>
    <w:rsid w:val="002E3B0D"/>
    <w:rsid w:val="002E4DAA"/>
    <w:rsid w:val="002E4DFE"/>
    <w:rsid w:val="002E6315"/>
    <w:rsid w:val="002E7CAE"/>
    <w:rsid w:val="002F05E1"/>
    <w:rsid w:val="002F13E4"/>
    <w:rsid w:val="002F24B9"/>
    <w:rsid w:val="002F2771"/>
    <w:rsid w:val="002F2B05"/>
    <w:rsid w:val="002F3749"/>
    <w:rsid w:val="002F37A9"/>
    <w:rsid w:val="002F63DE"/>
    <w:rsid w:val="002F6C08"/>
    <w:rsid w:val="00301037"/>
    <w:rsid w:val="00301CE6"/>
    <w:rsid w:val="00301D13"/>
    <w:rsid w:val="0030256B"/>
    <w:rsid w:val="003035E1"/>
    <w:rsid w:val="0030454E"/>
    <w:rsid w:val="0030501F"/>
    <w:rsid w:val="003050DA"/>
    <w:rsid w:val="00307BA1"/>
    <w:rsid w:val="00311702"/>
    <w:rsid w:val="003118D3"/>
    <w:rsid w:val="00311E82"/>
    <w:rsid w:val="00313AAD"/>
    <w:rsid w:val="00313FD6"/>
    <w:rsid w:val="003143BD"/>
    <w:rsid w:val="00315363"/>
    <w:rsid w:val="00316252"/>
    <w:rsid w:val="00317444"/>
    <w:rsid w:val="003179B9"/>
    <w:rsid w:val="0032025E"/>
    <w:rsid w:val="00320344"/>
    <w:rsid w:val="003203ED"/>
    <w:rsid w:val="00320795"/>
    <w:rsid w:val="00320C8E"/>
    <w:rsid w:val="00322C9F"/>
    <w:rsid w:val="003244E9"/>
    <w:rsid w:val="00324D23"/>
    <w:rsid w:val="0032601F"/>
    <w:rsid w:val="0032676F"/>
    <w:rsid w:val="00326C4E"/>
    <w:rsid w:val="00330E45"/>
    <w:rsid w:val="00330EC8"/>
    <w:rsid w:val="00331751"/>
    <w:rsid w:val="00331C1F"/>
    <w:rsid w:val="00334579"/>
    <w:rsid w:val="00334EDF"/>
    <w:rsid w:val="00335858"/>
    <w:rsid w:val="00336985"/>
    <w:rsid w:val="00336BDA"/>
    <w:rsid w:val="00337947"/>
    <w:rsid w:val="00340115"/>
    <w:rsid w:val="00340489"/>
    <w:rsid w:val="00340D2C"/>
    <w:rsid w:val="00341A3F"/>
    <w:rsid w:val="003423FB"/>
    <w:rsid w:val="0034243B"/>
    <w:rsid w:val="003425EB"/>
    <w:rsid w:val="00342BD7"/>
    <w:rsid w:val="003430C1"/>
    <w:rsid w:val="003434F6"/>
    <w:rsid w:val="0034413E"/>
    <w:rsid w:val="00344879"/>
    <w:rsid w:val="00345164"/>
    <w:rsid w:val="003458DD"/>
    <w:rsid w:val="003458FA"/>
    <w:rsid w:val="00345E8D"/>
    <w:rsid w:val="00346DB5"/>
    <w:rsid w:val="003477B1"/>
    <w:rsid w:val="00347F52"/>
    <w:rsid w:val="00350304"/>
    <w:rsid w:val="00350E75"/>
    <w:rsid w:val="003512F7"/>
    <w:rsid w:val="003516BD"/>
    <w:rsid w:val="00351AF3"/>
    <w:rsid w:val="00352730"/>
    <w:rsid w:val="00353D15"/>
    <w:rsid w:val="00353DE6"/>
    <w:rsid w:val="003554D8"/>
    <w:rsid w:val="00355616"/>
    <w:rsid w:val="003559F7"/>
    <w:rsid w:val="00356DF3"/>
    <w:rsid w:val="00356F39"/>
    <w:rsid w:val="00357380"/>
    <w:rsid w:val="00357A42"/>
    <w:rsid w:val="003602D9"/>
    <w:rsid w:val="003604CE"/>
    <w:rsid w:val="0036162E"/>
    <w:rsid w:val="00362582"/>
    <w:rsid w:val="00362625"/>
    <w:rsid w:val="00362E03"/>
    <w:rsid w:val="00363301"/>
    <w:rsid w:val="00365CD8"/>
    <w:rsid w:val="00366642"/>
    <w:rsid w:val="003669EF"/>
    <w:rsid w:val="00367400"/>
    <w:rsid w:val="003674FA"/>
    <w:rsid w:val="00367C30"/>
    <w:rsid w:val="00367E85"/>
    <w:rsid w:val="00370E47"/>
    <w:rsid w:val="003714A6"/>
    <w:rsid w:val="00371FBE"/>
    <w:rsid w:val="00373793"/>
    <w:rsid w:val="00373D78"/>
    <w:rsid w:val="003742AC"/>
    <w:rsid w:val="00374378"/>
    <w:rsid w:val="00374759"/>
    <w:rsid w:val="00374E69"/>
    <w:rsid w:val="00375C6A"/>
    <w:rsid w:val="003764B4"/>
    <w:rsid w:val="003776EE"/>
    <w:rsid w:val="00377CE1"/>
    <w:rsid w:val="0038032A"/>
    <w:rsid w:val="00381324"/>
    <w:rsid w:val="003817DC"/>
    <w:rsid w:val="00381BF8"/>
    <w:rsid w:val="003825AD"/>
    <w:rsid w:val="003836C8"/>
    <w:rsid w:val="00383B4E"/>
    <w:rsid w:val="00385BF0"/>
    <w:rsid w:val="003862B0"/>
    <w:rsid w:val="00386872"/>
    <w:rsid w:val="003901B5"/>
    <w:rsid w:val="00390BA1"/>
    <w:rsid w:val="00390ED2"/>
    <w:rsid w:val="00392AD3"/>
    <w:rsid w:val="00392B44"/>
    <w:rsid w:val="003939FF"/>
    <w:rsid w:val="00393C1E"/>
    <w:rsid w:val="00393D74"/>
    <w:rsid w:val="003947C9"/>
    <w:rsid w:val="003947CA"/>
    <w:rsid w:val="003947D1"/>
    <w:rsid w:val="003952B6"/>
    <w:rsid w:val="00395A50"/>
    <w:rsid w:val="00397588"/>
    <w:rsid w:val="00397AF5"/>
    <w:rsid w:val="003A1123"/>
    <w:rsid w:val="003A1D27"/>
    <w:rsid w:val="003A2223"/>
    <w:rsid w:val="003A2A0F"/>
    <w:rsid w:val="003A2E9A"/>
    <w:rsid w:val="003A3F99"/>
    <w:rsid w:val="003A45A1"/>
    <w:rsid w:val="003A4B0F"/>
    <w:rsid w:val="003A5B0A"/>
    <w:rsid w:val="003A67C9"/>
    <w:rsid w:val="003A6BAC"/>
    <w:rsid w:val="003A70A4"/>
    <w:rsid w:val="003A7242"/>
    <w:rsid w:val="003A7EF3"/>
    <w:rsid w:val="003A7FDC"/>
    <w:rsid w:val="003B0099"/>
    <w:rsid w:val="003B019D"/>
    <w:rsid w:val="003B0E89"/>
    <w:rsid w:val="003B159C"/>
    <w:rsid w:val="003B2E4D"/>
    <w:rsid w:val="003B3672"/>
    <w:rsid w:val="003B369F"/>
    <w:rsid w:val="003B36A3"/>
    <w:rsid w:val="003B3F2D"/>
    <w:rsid w:val="003B471E"/>
    <w:rsid w:val="003B59D0"/>
    <w:rsid w:val="003B64BB"/>
    <w:rsid w:val="003B6A73"/>
    <w:rsid w:val="003B6FE6"/>
    <w:rsid w:val="003B76E3"/>
    <w:rsid w:val="003B7FE5"/>
    <w:rsid w:val="003C0894"/>
    <w:rsid w:val="003C0EC5"/>
    <w:rsid w:val="003C11C8"/>
    <w:rsid w:val="003C1906"/>
    <w:rsid w:val="003C2702"/>
    <w:rsid w:val="003C374D"/>
    <w:rsid w:val="003C3F9C"/>
    <w:rsid w:val="003C5081"/>
    <w:rsid w:val="003C5B30"/>
    <w:rsid w:val="003C5D1D"/>
    <w:rsid w:val="003C65F1"/>
    <w:rsid w:val="003C68EA"/>
    <w:rsid w:val="003C73DA"/>
    <w:rsid w:val="003C7806"/>
    <w:rsid w:val="003D052C"/>
    <w:rsid w:val="003D109F"/>
    <w:rsid w:val="003D1E19"/>
    <w:rsid w:val="003D2478"/>
    <w:rsid w:val="003D30BF"/>
    <w:rsid w:val="003D31A3"/>
    <w:rsid w:val="003D38E0"/>
    <w:rsid w:val="003D3C45"/>
    <w:rsid w:val="003D3DCF"/>
    <w:rsid w:val="003D432D"/>
    <w:rsid w:val="003D49F6"/>
    <w:rsid w:val="003D5B1F"/>
    <w:rsid w:val="003D6C38"/>
    <w:rsid w:val="003D6C7E"/>
    <w:rsid w:val="003D79D1"/>
    <w:rsid w:val="003E0500"/>
    <w:rsid w:val="003E0BC1"/>
    <w:rsid w:val="003E14AD"/>
    <w:rsid w:val="003E15FA"/>
    <w:rsid w:val="003E33DB"/>
    <w:rsid w:val="003E39EC"/>
    <w:rsid w:val="003E3C90"/>
    <w:rsid w:val="003E4372"/>
    <w:rsid w:val="003E43C9"/>
    <w:rsid w:val="003E52B6"/>
    <w:rsid w:val="003E55E4"/>
    <w:rsid w:val="003E6B8D"/>
    <w:rsid w:val="003E72AA"/>
    <w:rsid w:val="003E74E3"/>
    <w:rsid w:val="003F05C7"/>
    <w:rsid w:val="003F27F2"/>
    <w:rsid w:val="003F2CD4"/>
    <w:rsid w:val="003F33FC"/>
    <w:rsid w:val="003F393A"/>
    <w:rsid w:val="003F40F7"/>
    <w:rsid w:val="003F50B6"/>
    <w:rsid w:val="003F5B44"/>
    <w:rsid w:val="003F6A4F"/>
    <w:rsid w:val="003F6BBE"/>
    <w:rsid w:val="004000E8"/>
    <w:rsid w:val="004004B7"/>
    <w:rsid w:val="00400B12"/>
    <w:rsid w:val="00400C49"/>
    <w:rsid w:val="00401C7D"/>
    <w:rsid w:val="004021CE"/>
    <w:rsid w:val="00402E2B"/>
    <w:rsid w:val="004031D0"/>
    <w:rsid w:val="00404343"/>
    <w:rsid w:val="0040512B"/>
    <w:rsid w:val="00405C75"/>
    <w:rsid w:val="00405CA5"/>
    <w:rsid w:val="0040648A"/>
    <w:rsid w:val="00406718"/>
    <w:rsid w:val="00407406"/>
    <w:rsid w:val="00407652"/>
    <w:rsid w:val="00407CD3"/>
    <w:rsid w:val="00410134"/>
    <w:rsid w:val="00410342"/>
    <w:rsid w:val="004107D8"/>
    <w:rsid w:val="00410B72"/>
    <w:rsid w:val="00410F18"/>
    <w:rsid w:val="00411DF5"/>
    <w:rsid w:val="0041263E"/>
    <w:rsid w:val="004136C6"/>
    <w:rsid w:val="004137FE"/>
    <w:rsid w:val="004139D2"/>
    <w:rsid w:val="00413AAC"/>
    <w:rsid w:val="00413C15"/>
    <w:rsid w:val="00413E92"/>
    <w:rsid w:val="00414145"/>
    <w:rsid w:val="00414D97"/>
    <w:rsid w:val="00415189"/>
    <w:rsid w:val="0041676D"/>
    <w:rsid w:val="00416C83"/>
    <w:rsid w:val="00416E77"/>
    <w:rsid w:val="0041721D"/>
    <w:rsid w:val="004179B0"/>
    <w:rsid w:val="00420EA7"/>
    <w:rsid w:val="00421105"/>
    <w:rsid w:val="00422175"/>
    <w:rsid w:val="004222FE"/>
    <w:rsid w:val="0042243C"/>
    <w:rsid w:val="004228CF"/>
    <w:rsid w:val="00422AA4"/>
    <w:rsid w:val="00423525"/>
    <w:rsid w:val="00423EFD"/>
    <w:rsid w:val="004242F4"/>
    <w:rsid w:val="00425EEB"/>
    <w:rsid w:val="004266D0"/>
    <w:rsid w:val="00427248"/>
    <w:rsid w:val="0042768C"/>
    <w:rsid w:val="0043094C"/>
    <w:rsid w:val="00430D29"/>
    <w:rsid w:val="004317DB"/>
    <w:rsid w:val="00431ADC"/>
    <w:rsid w:val="00431B68"/>
    <w:rsid w:val="00431B81"/>
    <w:rsid w:val="0043228E"/>
    <w:rsid w:val="00433AAE"/>
    <w:rsid w:val="00433E35"/>
    <w:rsid w:val="00433F12"/>
    <w:rsid w:val="00435BF6"/>
    <w:rsid w:val="00437447"/>
    <w:rsid w:val="004376A1"/>
    <w:rsid w:val="00437B43"/>
    <w:rsid w:val="00440276"/>
    <w:rsid w:val="004402CF"/>
    <w:rsid w:val="004402E4"/>
    <w:rsid w:val="0044173C"/>
    <w:rsid w:val="00441A92"/>
    <w:rsid w:val="004430B3"/>
    <w:rsid w:val="004431DC"/>
    <w:rsid w:val="00443F9E"/>
    <w:rsid w:val="00444D7A"/>
    <w:rsid w:val="00444F56"/>
    <w:rsid w:val="004462E8"/>
    <w:rsid w:val="00446488"/>
    <w:rsid w:val="00446CF7"/>
    <w:rsid w:val="0045091C"/>
    <w:rsid w:val="004517AA"/>
    <w:rsid w:val="00451C27"/>
    <w:rsid w:val="00452157"/>
    <w:rsid w:val="00452CAC"/>
    <w:rsid w:val="004551F3"/>
    <w:rsid w:val="00457565"/>
    <w:rsid w:val="00457B71"/>
    <w:rsid w:val="00460210"/>
    <w:rsid w:val="004603E4"/>
    <w:rsid w:val="00460423"/>
    <w:rsid w:val="00460723"/>
    <w:rsid w:val="00462187"/>
    <w:rsid w:val="00462CE6"/>
    <w:rsid w:val="00462F04"/>
    <w:rsid w:val="004640C4"/>
    <w:rsid w:val="004642A7"/>
    <w:rsid w:val="00464689"/>
    <w:rsid w:val="00464890"/>
    <w:rsid w:val="00465354"/>
    <w:rsid w:val="00465D15"/>
    <w:rsid w:val="0046665B"/>
    <w:rsid w:val="004669E2"/>
    <w:rsid w:val="00466B55"/>
    <w:rsid w:val="00466D59"/>
    <w:rsid w:val="00467889"/>
    <w:rsid w:val="00470C31"/>
    <w:rsid w:val="00470DBE"/>
    <w:rsid w:val="00470FEA"/>
    <w:rsid w:val="00471DE0"/>
    <w:rsid w:val="00471F4A"/>
    <w:rsid w:val="00473053"/>
    <w:rsid w:val="004734D0"/>
    <w:rsid w:val="004735B0"/>
    <w:rsid w:val="004744E0"/>
    <w:rsid w:val="0047556B"/>
    <w:rsid w:val="00475B32"/>
    <w:rsid w:val="004762CB"/>
    <w:rsid w:val="00476DBE"/>
    <w:rsid w:val="00477768"/>
    <w:rsid w:val="00477784"/>
    <w:rsid w:val="00477B8A"/>
    <w:rsid w:val="004810BE"/>
    <w:rsid w:val="00482738"/>
    <w:rsid w:val="00482C3E"/>
    <w:rsid w:val="00483335"/>
    <w:rsid w:val="00483DCE"/>
    <w:rsid w:val="00484EF9"/>
    <w:rsid w:val="0048638C"/>
    <w:rsid w:val="0048645F"/>
    <w:rsid w:val="00486F10"/>
    <w:rsid w:val="00491180"/>
    <w:rsid w:val="004921E9"/>
    <w:rsid w:val="00492569"/>
    <w:rsid w:val="00492BC5"/>
    <w:rsid w:val="00493C28"/>
    <w:rsid w:val="004950B2"/>
    <w:rsid w:val="00495554"/>
    <w:rsid w:val="004964F1"/>
    <w:rsid w:val="00496726"/>
    <w:rsid w:val="004976A5"/>
    <w:rsid w:val="004A09AB"/>
    <w:rsid w:val="004A0E94"/>
    <w:rsid w:val="004A0EA0"/>
    <w:rsid w:val="004A16BC"/>
    <w:rsid w:val="004A1A6C"/>
    <w:rsid w:val="004A2B94"/>
    <w:rsid w:val="004A2BB5"/>
    <w:rsid w:val="004A397B"/>
    <w:rsid w:val="004A4305"/>
    <w:rsid w:val="004A4955"/>
    <w:rsid w:val="004A4A27"/>
    <w:rsid w:val="004A6C57"/>
    <w:rsid w:val="004A716B"/>
    <w:rsid w:val="004A780B"/>
    <w:rsid w:val="004B0089"/>
    <w:rsid w:val="004B03A8"/>
    <w:rsid w:val="004B03E8"/>
    <w:rsid w:val="004B04B2"/>
    <w:rsid w:val="004B0CBE"/>
    <w:rsid w:val="004B14D5"/>
    <w:rsid w:val="004B229A"/>
    <w:rsid w:val="004B396E"/>
    <w:rsid w:val="004B5969"/>
    <w:rsid w:val="004B6F6A"/>
    <w:rsid w:val="004B6F76"/>
    <w:rsid w:val="004B73C5"/>
    <w:rsid w:val="004B7524"/>
    <w:rsid w:val="004B7C0C"/>
    <w:rsid w:val="004B7C8D"/>
    <w:rsid w:val="004B7C9F"/>
    <w:rsid w:val="004C04C4"/>
    <w:rsid w:val="004C0E14"/>
    <w:rsid w:val="004C1C33"/>
    <w:rsid w:val="004C3898"/>
    <w:rsid w:val="004C4C62"/>
    <w:rsid w:val="004C5BFD"/>
    <w:rsid w:val="004C5F46"/>
    <w:rsid w:val="004C61F8"/>
    <w:rsid w:val="004C74CC"/>
    <w:rsid w:val="004C758F"/>
    <w:rsid w:val="004C75F9"/>
    <w:rsid w:val="004C7DB1"/>
    <w:rsid w:val="004C7F8D"/>
    <w:rsid w:val="004D130C"/>
    <w:rsid w:val="004D27E4"/>
    <w:rsid w:val="004D36B1"/>
    <w:rsid w:val="004D45DE"/>
    <w:rsid w:val="004D5CC9"/>
    <w:rsid w:val="004D6B6C"/>
    <w:rsid w:val="004D7EBD"/>
    <w:rsid w:val="004E03DC"/>
    <w:rsid w:val="004E1F23"/>
    <w:rsid w:val="004E2680"/>
    <w:rsid w:val="004E27DD"/>
    <w:rsid w:val="004E28F9"/>
    <w:rsid w:val="004E2E3B"/>
    <w:rsid w:val="004E3FF6"/>
    <w:rsid w:val="004E4352"/>
    <w:rsid w:val="004E462E"/>
    <w:rsid w:val="004E4EE9"/>
    <w:rsid w:val="004E51BD"/>
    <w:rsid w:val="004E5648"/>
    <w:rsid w:val="004E56DC"/>
    <w:rsid w:val="004E7154"/>
    <w:rsid w:val="004E76F4"/>
    <w:rsid w:val="004F0B4E"/>
    <w:rsid w:val="004F0B6C"/>
    <w:rsid w:val="004F2078"/>
    <w:rsid w:val="004F3F66"/>
    <w:rsid w:val="004F474B"/>
    <w:rsid w:val="004F4A6D"/>
    <w:rsid w:val="004F4B24"/>
    <w:rsid w:val="004F4DA3"/>
    <w:rsid w:val="004F6344"/>
    <w:rsid w:val="004F655B"/>
    <w:rsid w:val="004F685D"/>
    <w:rsid w:val="004F759E"/>
    <w:rsid w:val="004F76E0"/>
    <w:rsid w:val="005010DA"/>
    <w:rsid w:val="005010DF"/>
    <w:rsid w:val="005013A8"/>
    <w:rsid w:val="005031DC"/>
    <w:rsid w:val="0050346C"/>
    <w:rsid w:val="005034DC"/>
    <w:rsid w:val="005037E0"/>
    <w:rsid w:val="00503DAC"/>
    <w:rsid w:val="00505916"/>
    <w:rsid w:val="00505B73"/>
    <w:rsid w:val="00505D36"/>
    <w:rsid w:val="00506557"/>
    <w:rsid w:val="00506561"/>
    <w:rsid w:val="0050677A"/>
    <w:rsid w:val="00506B56"/>
    <w:rsid w:val="00507005"/>
    <w:rsid w:val="00507370"/>
    <w:rsid w:val="00507678"/>
    <w:rsid w:val="005108D8"/>
    <w:rsid w:val="0051145D"/>
    <w:rsid w:val="005116F9"/>
    <w:rsid w:val="00511ACB"/>
    <w:rsid w:val="00512E63"/>
    <w:rsid w:val="0051374C"/>
    <w:rsid w:val="005145E1"/>
    <w:rsid w:val="005150A3"/>
    <w:rsid w:val="005153A7"/>
    <w:rsid w:val="005164C0"/>
    <w:rsid w:val="005178A2"/>
    <w:rsid w:val="00517D3E"/>
    <w:rsid w:val="00520BB2"/>
    <w:rsid w:val="005219CF"/>
    <w:rsid w:val="00521B89"/>
    <w:rsid w:val="00521DCB"/>
    <w:rsid w:val="0052267C"/>
    <w:rsid w:val="00522E6B"/>
    <w:rsid w:val="00523BAD"/>
    <w:rsid w:val="00524110"/>
    <w:rsid w:val="0052459C"/>
    <w:rsid w:val="00524A48"/>
    <w:rsid w:val="00524BE3"/>
    <w:rsid w:val="00525C91"/>
    <w:rsid w:val="00525FDD"/>
    <w:rsid w:val="0052764F"/>
    <w:rsid w:val="00530855"/>
    <w:rsid w:val="00530983"/>
    <w:rsid w:val="00530BD0"/>
    <w:rsid w:val="00530F52"/>
    <w:rsid w:val="0053171C"/>
    <w:rsid w:val="00532AF2"/>
    <w:rsid w:val="00533EA9"/>
    <w:rsid w:val="00534120"/>
    <w:rsid w:val="00534B59"/>
    <w:rsid w:val="00534D8B"/>
    <w:rsid w:val="0053549C"/>
    <w:rsid w:val="00535BB6"/>
    <w:rsid w:val="0053651C"/>
    <w:rsid w:val="00536759"/>
    <w:rsid w:val="00537C62"/>
    <w:rsid w:val="005400EB"/>
    <w:rsid w:val="005407C7"/>
    <w:rsid w:val="00540965"/>
    <w:rsid w:val="00541CEF"/>
    <w:rsid w:val="0054299D"/>
    <w:rsid w:val="00543263"/>
    <w:rsid w:val="005440AC"/>
    <w:rsid w:val="0054554B"/>
    <w:rsid w:val="005455DC"/>
    <w:rsid w:val="00545ED6"/>
    <w:rsid w:val="005463ED"/>
    <w:rsid w:val="00546663"/>
    <w:rsid w:val="00546720"/>
    <w:rsid w:val="00546970"/>
    <w:rsid w:val="00546F2E"/>
    <w:rsid w:val="005474D1"/>
    <w:rsid w:val="00547564"/>
    <w:rsid w:val="00547778"/>
    <w:rsid w:val="0054786D"/>
    <w:rsid w:val="00547A2C"/>
    <w:rsid w:val="00550115"/>
    <w:rsid w:val="00550FAF"/>
    <w:rsid w:val="005515E3"/>
    <w:rsid w:val="005525F3"/>
    <w:rsid w:val="00554E19"/>
    <w:rsid w:val="00555727"/>
    <w:rsid w:val="00555FCB"/>
    <w:rsid w:val="00556637"/>
    <w:rsid w:val="005568E3"/>
    <w:rsid w:val="00556FEB"/>
    <w:rsid w:val="00560A9A"/>
    <w:rsid w:val="00560B25"/>
    <w:rsid w:val="00560C05"/>
    <w:rsid w:val="0056121F"/>
    <w:rsid w:val="005624EB"/>
    <w:rsid w:val="0056299E"/>
    <w:rsid w:val="0056305E"/>
    <w:rsid w:val="00563885"/>
    <w:rsid w:val="00563CEF"/>
    <w:rsid w:val="00564866"/>
    <w:rsid w:val="005668AF"/>
    <w:rsid w:val="00567EBE"/>
    <w:rsid w:val="00570E86"/>
    <w:rsid w:val="00571126"/>
    <w:rsid w:val="00571C36"/>
    <w:rsid w:val="00571EA7"/>
    <w:rsid w:val="00572505"/>
    <w:rsid w:val="00574308"/>
    <w:rsid w:val="00575C0A"/>
    <w:rsid w:val="00575F80"/>
    <w:rsid w:val="00576035"/>
    <w:rsid w:val="0057631A"/>
    <w:rsid w:val="00580039"/>
    <w:rsid w:val="00580C69"/>
    <w:rsid w:val="00580CFD"/>
    <w:rsid w:val="00582809"/>
    <w:rsid w:val="0058550A"/>
    <w:rsid w:val="0058624E"/>
    <w:rsid w:val="0058638A"/>
    <w:rsid w:val="0058721F"/>
    <w:rsid w:val="0058798C"/>
    <w:rsid w:val="005900FA"/>
    <w:rsid w:val="005903C3"/>
    <w:rsid w:val="005913EB"/>
    <w:rsid w:val="005935A4"/>
    <w:rsid w:val="00594386"/>
    <w:rsid w:val="005948C2"/>
    <w:rsid w:val="0059597D"/>
    <w:rsid w:val="00595DCA"/>
    <w:rsid w:val="005960A4"/>
    <w:rsid w:val="00596EFD"/>
    <w:rsid w:val="005970E7"/>
    <w:rsid w:val="00597288"/>
    <w:rsid w:val="005973C2"/>
    <w:rsid w:val="005973C3"/>
    <w:rsid w:val="0059779B"/>
    <w:rsid w:val="00597C67"/>
    <w:rsid w:val="005A007A"/>
    <w:rsid w:val="005A0CCB"/>
    <w:rsid w:val="005A209A"/>
    <w:rsid w:val="005A29F8"/>
    <w:rsid w:val="005A3C2B"/>
    <w:rsid w:val="005A4C73"/>
    <w:rsid w:val="005A4DF0"/>
    <w:rsid w:val="005A4E0F"/>
    <w:rsid w:val="005A4F8C"/>
    <w:rsid w:val="005A5890"/>
    <w:rsid w:val="005A6492"/>
    <w:rsid w:val="005A662D"/>
    <w:rsid w:val="005A7B39"/>
    <w:rsid w:val="005B0676"/>
    <w:rsid w:val="005B1409"/>
    <w:rsid w:val="005B1EA4"/>
    <w:rsid w:val="005B2542"/>
    <w:rsid w:val="005B33F2"/>
    <w:rsid w:val="005B35D7"/>
    <w:rsid w:val="005B392A"/>
    <w:rsid w:val="005B3AA3"/>
    <w:rsid w:val="005B506E"/>
    <w:rsid w:val="005B588F"/>
    <w:rsid w:val="005B6259"/>
    <w:rsid w:val="005B6F83"/>
    <w:rsid w:val="005B7326"/>
    <w:rsid w:val="005B7881"/>
    <w:rsid w:val="005B7C61"/>
    <w:rsid w:val="005C04A5"/>
    <w:rsid w:val="005C0937"/>
    <w:rsid w:val="005C09CB"/>
    <w:rsid w:val="005C14C3"/>
    <w:rsid w:val="005C2A51"/>
    <w:rsid w:val="005C61AE"/>
    <w:rsid w:val="005C6BE0"/>
    <w:rsid w:val="005C72F9"/>
    <w:rsid w:val="005C7368"/>
    <w:rsid w:val="005C74FB"/>
    <w:rsid w:val="005C7B27"/>
    <w:rsid w:val="005D1022"/>
    <w:rsid w:val="005D1602"/>
    <w:rsid w:val="005D2A16"/>
    <w:rsid w:val="005D407F"/>
    <w:rsid w:val="005D5BF2"/>
    <w:rsid w:val="005D5D40"/>
    <w:rsid w:val="005D5D68"/>
    <w:rsid w:val="005D75B7"/>
    <w:rsid w:val="005D7A91"/>
    <w:rsid w:val="005E04A3"/>
    <w:rsid w:val="005E0C66"/>
    <w:rsid w:val="005E0F06"/>
    <w:rsid w:val="005E0FE6"/>
    <w:rsid w:val="005E1752"/>
    <w:rsid w:val="005E1C44"/>
    <w:rsid w:val="005E1DCD"/>
    <w:rsid w:val="005E350C"/>
    <w:rsid w:val="005E385F"/>
    <w:rsid w:val="005E415E"/>
    <w:rsid w:val="005E4CFF"/>
    <w:rsid w:val="005E5B81"/>
    <w:rsid w:val="005E699C"/>
    <w:rsid w:val="005E6CA9"/>
    <w:rsid w:val="005E7BFC"/>
    <w:rsid w:val="005E7DAB"/>
    <w:rsid w:val="005F0180"/>
    <w:rsid w:val="005F0451"/>
    <w:rsid w:val="005F1C3C"/>
    <w:rsid w:val="005F2408"/>
    <w:rsid w:val="005F2B8C"/>
    <w:rsid w:val="005F2CB1"/>
    <w:rsid w:val="005F3025"/>
    <w:rsid w:val="005F3634"/>
    <w:rsid w:val="005F4E00"/>
    <w:rsid w:val="005F618C"/>
    <w:rsid w:val="005F70BD"/>
    <w:rsid w:val="005F7F0B"/>
    <w:rsid w:val="00600409"/>
    <w:rsid w:val="00601021"/>
    <w:rsid w:val="0060283C"/>
    <w:rsid w:val="006039EA"/>
    <w:rsid w:val="00604EAF"/>
    <w:rsid w:val="00604F14"/>
    <w:rsid w:val="00605CD0"/>
    <w:rsid w:val="00606366"/>
    <w:rsid w:val="00607915"/>
    <w:rsid w:val="0061057A"/>
    <w:rsid w:val="00611639"/>
    <w:rsid w:val="00611B83"/>
    <w:rsid w:val="00612033"/>
    <w:rsid w:val="00612CCD"/>
    <w:rsid w:val="00613257"/>
    <w:rsid w:val="0061399A"/>
    <w:rsid w:val="006144E1"/>
    <w:rsid w:val="006151FD"/>
    <w:rsid w:val="00615E3C"/>
    <w:rsid w:val="0061761D"/>
    <w:rsid w:val="00617DC4"/>
    <w:rsid w:val="00617E65"/>
    <w:rsid w:val="00620A71"/>
    <w:rsid w:val="00620D80"/>
    <w:rsid w:val="00621017"/>
    <w:rsid w:val="00621115"/>
    <w:rsid w:val="00621427"/>
    <w:rsid w:val="00622768"/>
    <w:rsid w:val="006234A6"/>
    <w:rsid w:val="006237D0"/>
    <w:rsid w:val="00623906"/>
    <w:rsid w:val="00623B28"/>
    <w:rsid w:val="00630001"/>
    <w:rsid w:val="006311B3"/>
    <w:rsid w:val="00631402"/>
    <w:rsid w:val="0063165F"/>
    <w:rsid w:val="00631EC3"/>
    <w:rsid w:val="00632290"/>
    <w:rsid w:val="0063246D"/>
    <w:rsid w:val="0063284C"/>
    <w:rsid w:val="00632EC1"/>
    <w:rsid w:val="00633EEF"/>
    <w:rsid w:val="00636398"/>
    <w:rsid w:val="00636521"/>
    <w:rsid w:val="006368D3"/>
    <w:rsid w:val="00636AD7"/>
    <w:rsid w:val="00636F35"/>
    <w:rsid w:val="006370FA"/>
    <w:rsid w:val="0063754B"/>
    <w:rsid w:val="006377EC"/>
    <w:rsid w:val="00637AC1"/>
    <w:rsid w:val="006400BD"/>
    <w:rsid w:val="006402DE"/>
    <w:rsid w:val="00640EDD"/>
    <w:rsid w:val="00641260"/>
    <w:rsid w:val="0064151F"/>
    <w:rsid w:val="00641533"/>
    <w:rsid w:val="00641A7F"/>
    <w:rsid w:val="0064208D"/>
    <w:rsid w:val="00643475"/>
    <w:rsid w:val="006436ED"/>
    <w:rsid w:val="0064396A"/>
    <w:rsid w:val="00643B1D"/>
    <w:rsid w:val="00644E25"/>
    <w:rsid w:val="00645D66"/>
    <w:rsid w:val="0064624E"/>
    <w:rsid w:val="00646984"/>
    <w:rsid w:val="00646FDC"/>
    <w:rsid w:val="006479F8"/>
    <w:rsid w:val="00647ECB"/>
    <w:rsid w:val="00650AB9"/>
    <w:rsid w:val="006511C6"/>
    <w:rsid w:val="0065253C"/>
    <w:rsid w:val="00652ACF"/>
    <w:rsid w:val="00653789"/>
    <w:rsid w:val="00653B52"/>
    <w:rsid w:val="00653D02"/>
    <w:rsid w:val="00653E2F"/>
    <w:rsid w:val="0065500A"/>
    <w:rsid w:val="0065534C"/>
    <w:rsid w:val="00655733"/>
    <w:rsid w:val="00655ACD"/>
    <w:rsid w:val="00655EF0"/>
    <w:rsid w:val="00655F95"/>
    <w:rsid w:val="00656A92"/>
    <w:rsid w:val="00656B85"/>
    <w:rsid w:val="00656DDE"/>
    <w:rsid w:val="0066011D"/>
    <w:rsid w:val="006607C0"/>
    <w:rsid w:val="00661162"/>
    <w:rsid w:val="006613A6"/>
    <w:rsid w:val="00661FA9"/>
    <w:rsid w:val="006627A2"/>
    <w:rsid w:val="00662D48"/>
    <w:rsid w:val="006634E6"/>
    <w:rsid w:val="00664131"/>
    <w:rsid w:val="00664894"/>
    <w:rsid w:val="00664E8A"/>
    <w:rsid w:val="00665418"/>
    <w:rsid w:val="006655EE"/>
    <w:rsid w:val="00665A4A"/>
    <w:rsid w:val="00665BCC"/>
    <w:rsid w:val="00666786"/>
    <w:rsid w:val="00666F30"/>
    <w:rsid w:val="00666F8F"/>
    <w:rsid w:val="006670E3"/>
    <w:rsid w:val="00667937"/>
    <w:rsid w:val="00667EE7"/>
    <w:rsid w:val="00670722"/>
    <w:rsid w:val="00670922"/>
    <w:rsid w:val="00670BE1"/>
    <w:rsid w:val="0067218F"/>
    <w:rsid w:val="0067377F"/>
    <w:rsid w:val="006741F2"/>
    <w:rsid w:val="00674430"/>
    <w:rsid w:val="00674CC3"/>
    <w:rsid w:val="00675490"/>
    <w:rsid w:val="00675818"/>
    <w:rsid w:val="00675C72"/>
    <w:rsid w:val="00675ECA"/>
    <w:rsid w:val="00676507"/>
    <w:rsid w:val="006766A0"/>
    <w:rsid w:val="0067685B"/>
    <w:rsid w:val="00676C7C"/>
    <w:rsid w:val="006771F9"/>
    <w:rsid w:val="0067743D"/>
    <w:rsid w:val="006776D7"/>
    <w:rsid w:val="00681003"/>
    <w:rsid w:val="006817C9"/>
    <w:rsid w:val="006829D4"/>
    <w:rsid w:val="0068392B"/>
    <w:rsid w:val="00683ECE"/>
    <w:rsid w:val="00692560"/>
    <w:rsid w:val="00692BD5"/>
    <w:rsid w:val="00694BEB"/>
    <w:rsid w:val="00695C99"/>
    <w:rsid w:val="00695FC2"/>
    <w:rsid w:val="00696949"/>
    <w:rsid w:val="00697052"/>
    <w:rsid w:val="006977D1"/>
    <w:rsid w:val="00697E49"/>
    <w:rsid w:val="006A123C"/>
    <w:rsid w:val="006A18EA"/>
    <w:rsid w:val="006A1B57"/>
    <w:rsid w:val="006A2231"/>
    <w:rsid w:val="006A2E7C"/>
    <w:rsid w:val="006A360C"/>
    <w:rsid w:val="006A3DE7"/>
    <w:rsid w:val="006A46FB"/>
    <w:rsid w:val="006A59E4"/>
    <w:rsid w:val="006A5C4D"/>
    <w:rsid w:val="006A5E28"/>
    <w:rsid w:val="006A697B"/>
    <w:rsid w:val="006A69B2"/>
    <w:rsid w:val="006A6F8E"/>
    <w:rsid w:val="006A72BC"/>
    <w:rsid w:val="006A73CD"/>
    <w:rsid w:val="006A7AFF"/>
    <w:rsid w:val="006B1816"/>
    <w:rsid w:val="006B2099"/>
    <w:rsid w:val="006B2579"/>
    <w:rsid w:val="006B2D16"/>
    <w:rsid w:val="006B3A8A"/>
    <w:rsid w:val="006B3AFB"/>
    <w:rsid w:val="006B47AF"/>
    <w:rsid w:val="006B47C4"/>
    <w:rsid w:val="006B50CF"/>
    <w:rsid w:val="006B565D"/>
    <w:rsid w:val="006B5D64"/>
    <w:rsid w:val="006B5E39"/>
    <w:rsid w:val="006B742A"/>
    <w:rsid w:val="006B7C6E"/>
    <w:rsid w:val="006C03B8"/>
    <w:rsid w:val="006C34B6"/>
    <w:rsid w:val="006C497F"/>
    <w:rsid w:val="006C4E90"/>
    <w:rsid w:val="006C5A71"/>
    <w:rsid w:val="006C5EC9"/>
    <w:rsid w:val="006C6059"/>
    <w:rsid w:val="006C644C"/>
    <w:rsid w:val="006C7522"/>
    <w:rsid w:val="006C7F63"/>
    <w:rsid w:val="006D0347"/>
    <w:rsid w:val="006D1F49"/>
    <w:rsid w:val="006D2E6D"/>
    <w:rsid w:val="006D351C"/>
    <w:rsid w:val="006D3AB9"/>
    <w:rsid w:val="006D4299"/>
    <w:rsid w:val="006D4D3B"/>
    <w:rsid w:val="006D58B0"/>
    <w:rsid w:val="006D64B4"/>
    <w:rsid w:val="006D68A4"/>
    <w:rsid w:val="006D6F08"/>
    <w:rsid w:val="006D7989"/>
    <w:rsid w:val="006E062C"/>
    <w:rsid w:val="006E086A"/>
    <w:rsid w:val="006E0A52"/>
    <w:rsid w:val="006E1822"/>
    <w:rsid w:val="006E1953"/>
    <w:rsid w:val="006E1C82"/>
    <w:rsid w:val="006E22A1"/>
    <w:rsid w:val="006E28B7"/>
    <w:rsid w:val="006E2A9B"/>
    <w:rsid w:val="006E3310"/>
    <w:rsid w:val="006E3925"/>
    <w:rsid w:val="006E4C72"/>
    <w:rsid w:val="006E4E14"/>
    <w:rsid w:val="006E4E39"/>
    <w:rsid w:val="006E5163"/>
    <w:rsid w:val="006E565E"/>
    <w:rsid w:val="006E63C6"/>
    <w:rsid w:val="006E673D"/>
    <w:rsid w:val="006E774E"/>
    <w:rsid w:val="006E7A70"/>
    <w:rsid w:val="006E7D3B"/>
    <w:rsid w:val="006F17ED"/>
    <w:rsid w:val="006F1B70"/>
    <w:rsid w:val="006F21D8"/>
    <w:rsid w:val="006F277D"/>
    <w:rsid w:val="006F341D"/>
    <w:rsid w:val="006F3CDE"/>
    <w:rsid w:val="006F4022"/>
    <w:rsid w:val="006F49B8"/>
    <w:rsid w:val="006F4B35"/>
    <w:rsid w:val="006F4E73"/>
    <w:rsid w:val="006F502E"/>
    <w:rsid w:val="006F541E"/>
    <w:rsid w:val="006F58D4"/>
    <w:rsid w:val="006F6582"/>
    <w:rsid w:val="006F6EEA"/>
    <w:rsid w:val="00700669"/>
    <w:rsid w:val="00702471"/>
    <w:rsid w:val="0070346E"/>
    <w:rsid w:val="0070362E"/>
    <w:rsid w:val="00704EDB"/>
    <w:rsid w:val="00705E35"/>
    <w:rsid w:val="00706101"/>
    <w:rsid w:val="00706577"/>
    <w:rsid w:val="00707072"/>
    <w:rsid w:val="00707D61"/>
    <w:rsid w:val="007102E3"/>
    <w:rsid w:val="007104F6"/>
    <w:rsid w:val="00712287"/>
    <w:rsid w:val="00712772"/>
    <w:rsid w:val="007136E7"/>
    <w:rsid w:val="007148D3"/>
    <w:rsid w:val="00715B9A"/>
    <w:rsid w:val="00715BF0"/>
    <w:rsid w:val="007179A8"/>
    <w:rsid w:val="00717E9C"/>
    <w:rsid w:val="007201A8"/>
    <w:rsid w:val="00721B32"/>
    <w:rsid w:val="00724A65"/>
    <w:rsid w:val="007257D0"/>
    <w:rsid w:val="00725EB2"/>
    <w:rsid w:val="00726759"/>
    <w:rsid w:val="007268ED"/>
    <w:rsid w:val="00726EA6"/>
    <w:rsid w:val="00727115"/>
    <w:rsid w:val="00727208"/>
    <w:rsid w:val="00727680"/>
    <w:rsid w:val="007302AB"/>
    <w:rsid w:val="0073242D"/>
    <w:rsid w:val="00733628"/>
    <w:rsid w:val="00733755"/>
    <w:rsid w:val="00734834"/>
    <w:rsid w:val="007348B1"/>
    <w:rsid w:val="00734964"/>
    <w:rsid w:val="00735055"/>
    <w:rsid w:val="00735454"/>
    <w:rsid w:val="00735A14"/>
    <w:rsid w:val="00735B67"/>
    <w:rsid w:val="00735E0F"/>
    <w:rsid w:val="007362A6"/>
    <w:rsid w:val="007366B3"/>
    <w:rsid w:val="00736C9D"/>
    <w:rsid w:val="00736D7D"/>
    <w:rsid w:val="007405EC"/>
    <w:rsid w:val="007408F0"/>
    <w:rsid w:val="00740AC1"/>
    <w:rsid w:val="00740E58"/>
    <w:rsid w:val="00742FBE"/>
    <w:rsid w:val="007432DA"/>
    <w:rsid w:val="00743D2C"/>
    <w:rsid w:val="007445A0"/>
    <w:rsid w:val="0074524B"/>
    <w:rsid w:val="00745665"/>
    <w:rsid w:val="00745805"/>
    <w:rsid w:val="0074587B"/>
    <w:rsid w:val="0074610B"/>
    <w:rsid w:val="00747D8B"/>
    <w:rsid w:val="007501FA"/>
    <w:rsid w:val="00750461"/>
    <w:rsid w:val="00750ECC"/>
    <w:rsid w:val="00751228"/>
    <w:rsid w:val="00752421"/>
    <w:rsid w:val="00753587"/>
    <w:rsid w:val="0075389C"/>
    <w:rsid w:val="0075463F"/>
    <w:rsid w:val="00756087"/>
    <w:rsid w:val="00756C5E"/>
    <w:rsid w:val="007571E1"/>
    <w:rsid w:val="007578BA"/>
    <w:rsid w:val="007604B2"/>
    <w:rsid w:val="007611AA"/>
    <w:rsid w:val="007623F5"/>
    <w:rsid w:val="00762EBC"/>
    <w:rsid w:val="00763013"/>
    <w:rsid w:val="0076323F"/>
    <w:rsid w:val="00764178"/>
    <w:rsid w:val="00764188"/>
    <w:rsid w:val="007644A2"/>
    <w:rsid w:val="0076455E"/>
    <w:rsid w:val="00764922"/>
    <w:rsid w:val="00764E13"/>
    <w:rsid w:val="00765281"/>
    <w:rsid w:val="00765441"/>
    <w:rsid w:val="00766417"/>
    <w:rsid w:val="007668E0"/>
    <w:rsid w:val="00766BAD"/>
    <w:rsid w:val="007729A2"/>
    <w:rsid w:val="00772BC1"/>
    <w:rsid w:val="0077366E"/>
    <w:rsid w:val="007755F2"/>
    <w:rsid w:val="007757DF"/>
    <w:rsid w:val="00775852"/>
    <w:rsid w:val="00775E1B"/>
    <w:rsid w:val="00776971"/>
    <w:rsid w:val="00777704"/>
    <w:rsid w:val="00777A88"/>
    <w:rsid w:val="00780A80"/>
    <w:rsid w:val="0078177E"/>
    <w:rsid w:val="00781F2E"/>
    <w:rsid w:val="00782992"/>
    <w:rsid w:val="0078304C"/>
    <w:rsid w:val="0078344D"/>
    <w:rsid w:val="00783673"/>
    <w:rsid w:val="00783765"/>
    <w:rsid w:val="00783B53"/>
    <w:rsid w:val="00784B56"/>
    <w:rsid w:val="00785490"/>
    <w:rsid w:val="00786D79"/>
    <w:rsid w:val="007925EA"/>
    <w:rsid w:val="00792DDC"/>
    <w:rsid w:val="00793CD8"/>
    <w:rsid w:val="00794127"/>
    <w:rsid w:val="00795C92"/>
    <w:rsid w:val="00795E73"/>
    <w:rsid w:val="00796231"/>
    <w:rsid w:val="007969C0"/>
    <w:rsid w:val="0079713D"/>
    <w:rsid w:val="00797170"/>
    <w:rsid w:val="007A0CEC"/>
    <w:rsid w:val="007A1CB3"/>
    <w:rsid w:val="007A2662"/>
    <w:rsid w:val="007A306F"/>
    <w:rsid w:val="007A43A6"/>
    <w:rsid w:val="007A44B6"/>
    <w:rsid w:val="007A4AD0"/>
    <w:rsid w:val="007A4AF4"/>
    <w:rsid w:val="007A5008"/>
    <w:rsid w:val="007A58A6"/>
    <w:rsid w:val="007A5E4B"/>
    <w:rsid w:val="007A70C1"/>
    <w:rsid w:val="007B08CE"/>
    <w:rsid w:val="007B0960"/>
    <w:rsid w:val="007B0AE2"/>
    <w:rsid w:val="007B15C5"/>
    <w:rsid w:val="007B3191"/>
    <w:rsid w:val="007B3D2D"/>
    <w:rsid w:val="007B3DEF"/>
    <w:rsid w:val="007B4D5D"/>
    <w:rsid w:val="007B50AE"/>
    <w:rsid w:val="007B51DF"/>
    <w:rsid w:val="007B57D0"/>
    <w:rsid w:val="007B5CDC"/>
    <w:rsid w:val="007B603C"/>
    <w:rsid w:val="007B67A3"/>
    <w:rsid w:val="007B75E0"/>
    <w:rsid w:val="007B7BBD"/>
    <w:rsid w:val="007C0119"/>
    <w:rsid w:val="007C030C"/>
    <w:rsid w:val="007C0528"/>
    <w:rsid w:val="007C05DD"/>
    <w:rsid w:val="007C09C1"/>
    <w:rsid w:val="007C216D"/>
    <w:rsid w:val="007C2A78"/>
    <w:rsid w:val="007C2D8F"/>
    <w:rsid w:val="007C3695"/>
    <w:rsid w:val="007C3D18"/>
    <w:rsid w:val="007C4BB8"/>
    <w:rsid w:val="007C5518"/>
    <w:rsid w:val="007C5DF2"/>
    <w:rsid w:val="007C5E5A"/>
    <w:rsid w:val="007C60BF"/>
    <w:rsid w:val="007C6A07"/>
    <w:rsid w:val="007C72A7"/>
    <w:rsid w:val="007C72D8"/>
    <w:rsid w:val="007C75A1"/>
    <w:rsid w:val="007C77A5"/>
    <w:rsid w:val="007D04E5"/>
    <w:rsid w:val="007D0581"/>
    <w:rsid w:val="007D11F4"/>
    <w:rsid w:val="007D35AF"/>
    <w:rsid w:val="007D3950"/>
    <w:rsid w:val="007D3C10"/>
    <w:rsid w:val="007D42D7"/>
    <w:rsid w:val="007D44AF"/>
    <w:rsid w:val="007D4DC0"/>
    <w:rsid w:val="007D5901"/>
    <w:rsid w:val="007D7526"/>
    <w:rsid w:val="007E0C2C"/>
    <w:rsid w:val="007E0DC4"/>
    <w:rsid w:val="007E406D"/>
    <w:rsid w:val="007E4610"/>
    <w:rsid w:val="007E4715"/>
    <w:rsid w:val="007E505B"/>
    <w:rsid w:val="007E53B4"/>
    <w:rsid w:val="007E6C4A"/>
    <w:rsid w:val="007E7091"/>
    <w:rsid w:val="007E762B"/>
    <w:rsid w:val="007E7C84"/>
    <w:rsid w:val="007F0015"/>
    <w:rsid w:val="007F1FDC"/>
    <w:rsid w:val="007F25EA"/>
    <w:rsid w:val="007F335C"/>
    <w:rsid w:val="007F4206"/>
    <w:rsid w:val="007F4CDE"/>
    <w:rsid w:val="007F51B2"/>
    <w:rsid w:val="007F68D6"/>
    <w:rsid w:val="007F71A9"/>
    <w:rsid w:val="007F72A2"/>
    <w:rsid w:val="007F7C01"/>
    <w:rsid w:val="008002A5"/>
    <w:rsid w:val="008006C4"/>
    <w:rsid w:val="0080093A"/>
    <w:rsid w:val="00803FAE"/>
    <w:rsid w:val="00805135"/>
    <w:rsid w:val="008054F1"/>
    <w:rsid w:val="0080592A"/>
    <w:rsid w:val="0080605F"/>
    <w:rsid w:val="00807786"/>
    <w:rsid w:val="0081003D"/>
    <w:rsid w:val="00810E76"/>
    <w:rsid w:val="00811C21"/>
    <w:rsid w:val="00811FCB"/>
    <w:rsid w:val="0081204C"/>
    <w:rsid w:val="008120DC"/>
    <w:rsid w:val="00813191"/>
    <w:rsid w:val="008134AB"/>
    <w:rsid w:val="00813769"/>
    <w:rsid w:val="008137BF"/>
    <w:rsid w:val="008153A9"/>
    <w:rsid w:val="008158D6"/>
    <w:rsid w:val="00817196"/>
    <w:rsid w:val="00820145"/>
    <w:rsid w:val="008207A5"/>
    <w:rsid w:val="00820946"/>
    <w:rsid w:val="008218AB"/>
    <w:rsid w:val="00821935"/>
    <w:rsid w:val="008235DB"/>
    <w:rsid w:val="00824AB4"/>
    <w:rsid w:val="00825802"/>
    <w:rsid w:val="00825C42"/>
    <w:rsid w:val="00825D25"/>
    <w:rsid w:val="00826271"/>
    <w:rsid w:val="00827D6F"/>
    <w:rsid w:val="00830AE8"/>
    <w:rsid w:val="0083350F"/>
    <w:rsid w:val="00835348"/>
    <w:rsid w:val="0083578C"/>
    <w:rsid w:val="00835D3E"/>
    <w:rsid w:val="00836434"/>
    <w:rsid w:val="00836899"/>
    <w:rsid w:val="00837160"/>
    <w:rsid w:val="008376AC"/>
    <w:rsid w:val="008376C7"/>
    <w:rsid w:val="00837F95"/>
    <w:rsid w:val="008405A5"/>
    <w:rsid w:val="0084149F"/>
    <w:rsid w:val="0084198F"/>
    <w:rsid w:val="008439D7"/>
    <w:rsid w:val="008440D7"/>
    <w:rsid w:val="008444E8"/>
    <w:rsid w:val="00844E80"/>
    <w:rsid w:val="00845569"/>
    <w:rsid w:val="00846FE7"/>
    <w:rsid w:val="008471CA"/>
    <w:rsid w:val="00851248"/>
    <w:rsid w:val="008518A7"/>
    <w:rsid w:val="008522C0"/>
    <w:rsid w:val="00852A07"/>
    <w:rsid w:val="00852CD7"/>
    <w:rsid w:val="00853DF9"/>
    <w:rsid w:val="008549C7"/>
    <w:rsid w:val="00854ABA"/>
    <w:rsid w:val="00855E23"/>
    <w:rsid w:val="00856911"/>
    <w:rsid w:val="00856D2D"/>
    <w:rsid w:val="00856DDF"/>
    <w:rsid w:val="00857891"/>
    <w:rsid w:val="00860070"/>
    <w:rsid w:val="00860FF7"/>
    <w:rsid w:val="00861159"/>
    <w:rsid w:val="008621EA"/>
    <w:rsid w:val="00862D45"/>
    <w:rsid w:val="008631B2"/>
    <w:rsid w:val="0086567B"/>
    <w:rsid w:val="00865B8E"/>
    <w:rsid w:val="00866242"/>
    <w:rsid w:val="0086680F"/>
    <w:rsid w:val="00866C38"/>
    <w:rsid w:val="00866D32"/>
    <w:rsid w:val="00867752"/>
    <w:rsid w:val="008677FD"/>
    <w:rsid w:val="008706D4"/>
    <w:rsid w:val="00870F8A"/>
    <w:rsid w:val="00871400"/>
    <w:rsid w:val="008716E3"/>
    <w:rsid w:val="00871756"/>
    <w:rsid w:val="008717B3"/>
    <w:rsid w:val="008719A4"/>
    <w:rsid w:val="00871D0C"/>
    <w:rsid w:val="00871D23"/>
    <w:rsid w:val="0087218F"/>
    <w:rsid w:val="00874312"/>
    <w:rsid w:val="0087437C"/>
    <w:rsid w:val="00875CD7"/>
    <w:rsid w:val="00876B4D"/>
    <w:rsid w:val="0087708F"/>
    <w:rsid w:val="00877F18"/>
    <w:rsid w:val="00880716"/>
    <w:rsid w:val="00881781"/>
    <w:rsid w:val="0088416A"/>
    <w:rsid w:val="00890B74"/>
    <w:rsid w:val="00891204"/>
    <w:rsid w:val="00891542"/>
    <w:rsid w:val="0089301E"/>
    <w:rsid w:val="00893EDB"/>
    <w:rsid w:val="00893FE2"/>
    <w:rsid w:val="008941E3"/>
    <w:rsid w:val="00894904"/>
    <w:rsid w:val="00894A88"/>
    <w:rsid w:val="00894FB6"/>
    <w:rsid w:val="00895386"/>
    <w:rsid w:val="008A01B9"/>
    <w:rsid w:val="008A0FDA"/>
    <w:rsid w:val="008A12EC"/>
    <w:rsid w:val="008A21FF"/>
    <w:rsid w:val="008A2CE2"/>
    <w:rsid w:val="008A30AC"/>
    <w:rsid w:val="008A30FA"/>
    <w:rsid w:val="008A39B3"/>
    <w:rsid w:val="008A4281"/>
    <w:rsid w:val="008A44B8"/>
    <w:rsid w:val="008A51A8"/>
    <w:rsid w:val="008A54C7"/>
    <w:rsid w:val="008A5D23"/>
    <w:rsid w:val="008A5D9C"/>
    <w:rsid w:val="008A710D"/>
    <w:rsid w:val="008A77D8"/>
    <w:rsid w:val="008B0483"/>
    <w:rsid w:val="008B0711"/>
    <w:rsid w:val="008B0976"/>
    <w:rsid w:val="008B120C"/>
    <w:rsid w:val="008B1476"/>
    <w:rsid w:val="008B1504"/>
    <w:rsid w:val="008B2011"/>
    <w:rsid w:val="008B23F5"/>
    <w:rsid w:val="008B2F83"/>
    <w:rsid w:val="008B48D6"/>
    <w:rsid w:val="008B51A0"/>
    <w:rsid w:val="008B5732"/>
    <w:rsid w:val="008B576D"/>
    <w:rsid w:val="008B592A"/>
    <w:rsid w:val="008B5C0C"/>
    <w:rsid w:val="008B7B5C"/>
    <w:rsid w:val="008C021C"/>
    <w:rsid w:val="008C05AC"/>
    <w:rsid w:val="008C0C99"/>
    <w:rsid w:val="008C2017"/>
    <w:rsid w:val="008C274C"/>
    <w:rsid w:val="008C3110"/>
    <w:rsid w:val="008C4958"/>
    <w:rsid w:val="008C4BAA"/>
    <w:rsid w:val="008C61D8"/>
    <w:rsid w:val="008C6AE8"/>
    <w:rsid w:val="008C7491"/>
    <w:rsid w:val="008C7573"/>
    <w:rsid w:val="008C761C"/>
    <w:rsid w:val="008C77DC"/>
    <w:rsid w:val="008D00A5"/>
    <w:rsid w:val="008D0319"/>
    <w:rsid w:val="008D054C"/>
    <w:rsid w:val="008D34F1"/>
    <w:rsid w:val="008D39D8"/>
    <w:rsid w:val="008D4AF3"/>
    <w:rsid w:val="008D5DC7"/>
    <w:rsid w:val="008D6D1A"/>
    <w:rsid w:val="008D7C79"/>
    <w:rsid w:val="008E009A"/>
    <w:rsid w:val="008E0108"/>
    <w:rsid w:val="008E0488"/>
    <w:rsid w:val="008E065E"/>
    <w:rsid w:val="008E0927"/>
    <w:rsid w:val="008E1909"/>
    <w:rsid w:val="008E29B6"/>
    <w:rsid w:val="008E311B"/>
    <w:rsid w:val="008E332E"/>
    <w:rsid w:val="008E5664"/>
    <w:rsid w:val="008E6F6A"/>
    <w:rsid w:val="008E72DA"/>
    <w:rsid w:val="008F0850"/>
    <w:rsid w:val="008F08B8"/>
    <w:rsid w:val="008F0AE6"/>
    <w:rsid w:val="008F18E1"/>
    <w:rsid w:val="008F1C4E"/>
    <w:rsid w:val="008F1E93"/>
    <w:rsid w:val="008F1EAB"/>
    <w:rsid w:val="008F33DC"/>
    <w:rsid w:val="008F3756"/>
    <w:rsid w:val="008F477F"/>
    <w:rsid w:val="008F4A66"/>
    <w:rsid w:val="008F6B41"/>
    <w:rsid w:val="008F709E"/>
    <w:rsid w:val="008F732B"/>
    <w:rsid w:val="008F7F76"/>
    <w:rsid w:val="009008A4"/>
    <w:rsid w:val="0090129B"/>
    <w:rsid w:val="00901B05"/>
    <w:rsid w:val="00902350"/>
    <w:rsid w:val="00902C42"/>
    <w:rsid w:val="0090336B"/>
    <w:rsid w:val="00904369"/>
    <w:rsid w:val="00904606"/>
    <w:rsid w:val="009047A0"/>
    <w:rsid w:val="009053AA"/>
    <w:rsid w:val="0090566C"/>
    <w:rsid w:val="00905886"/>
    <w:rsid w:val="00905931"/>
    <w:rsid w:val="00906820"/>
    <w:rsid w:val="00906939"/>
    <w:rsid w:val="00907FA9"/>
    <w:rsid w:val="00910B7D"/>
    <w:rsid w:val="00911DFB"/>
    <w:rsid w:val="00912A81"/>
    <w:rsid w:val="009139D9"/>
    <w:rsid w:val="00913C9E"/>
    <w:rsid w:val="00914AD8"/>
    <w:rsid w:val="00914E80"/>
    <w:rsid w:val="00915120"/>
    <w:rsid w:val="00916079"/>
    <w:rsid w:val="00917448"/>
    <w:rsid w:val="00917CE9"/>
    <w:rsid w:val="0092075B"/>
    <w:rsid w:val="009208A7"/>
    <w:rsid w:val="00920BF2"/>
    <w:rsid w:val="00920ED3"/>
    <w:rsid w:val="00922010"/>
    <w:rsid w:val="00923E5F"/>
    <w:rsid w:val="00924281"/>
    <w:rsid w:val="00926C29"/>
    <w:rsid w:val="009274C3"/>
    <w:rsid w:val="00931BD9"/>
    <w:rsid w:val="00931D71"/>
    <w:rsid w:val="00931F4A"/>
    <w:rsid w:val="009325E6"/>
    <w:rsid w:val="009334CD"/>
    <w:rsid w:val="009337CC"/>
    <w:rsid w:val="009346A7"/>
    <w:rsid w:val="00934B39"/>
    <w:rsid w:val="00936804"/>
    <w:rsid w:val="009368F3"/>
    <w:rsid w:val="00936A2D"/>
    <w:rsid w:val="009377CB"/>
    <w:rsid w:val="009407E3"/>
    <w:rsid w:val="00940C40"/>
    <w:rsid w:val="00940E1B"/>
    <w:rsid w:val="00941636"/>
    <w:rsid w:val="009419D5"/>
    <w:rsid w:val="00941CA3"/>
    <w:rsid w:val="00941D59"/>
    <w:rsid w:val="00942A10"/>
    <w:rsid w:val="00942D33"/>
    <w:rsid w:val="00943742"/>
    <w:rsid w:val="00943F0D"/>
    <w:rsid w:val="009443E6"/>
    <w:rsid w:val="0094569F"/>
    <w:rsid w:val="00945AD4"/>
    <w:rsid w:val="00945C05"/>
    <w:rsid w:val="00946945"/>
    <w:rsid w:val="00946B92"/>
    <w:rsid w:val="0094728C"/>
    <w:rsid w:val="00947713"/>
    <w:rsid w:val="009501B9"/>
    <w:rsid w:val="009504F0"/>
    <w:rsid w:val="00950DE7"/>
    <w:rsid w:val="0095128A"/>
    <w:rsid w:val="00951763"/>
    <w:rsid w:val="009517FD"/>
    <w:rsid w:val="00951ABA"/>
    <w:rsid w:val="00952926"/>
    <w:rsid w:val="00953920"/>
    <w:rsid w:val="00953D47"/>
    <w:rsid w:val="00953F55"/>
    <w:rsid w:val="009547C1"/>
    <w:rsid w:val="00955308"/>
    <w:rsid w:val="009554C9"/>
    <w:rsid w:val="00955F87"/>
    <w:rsid w:val="00956304"/>
    <w:rsid w:val="0095681E"/>
    <w:rsid w:val="009572D4"/>
    <w:rsid w:val="00957D98"/>
    <w:rsid w:val="0096092E"/>
    <w:rsid w:val="009609C8"/>
    <w:rsid w:val="00961921"/>
    <w:rsid w:val="00961A78"/>
    <w:rsid w:val="00961D95"/>
    <w:rsid w:val="00962D0F"/>
    <w:rsid w:val="0096430A"/>
    <w:rsid w:val="0096554B"/>
    <w:rsid w:val="0096584A"/>
    <w:rsid w:val="009660AA"/>
    <w:rsid w:val="009660C4"/>
    <w:rsid w:val="0096612E"/>
    <w:rsid w:val="00966280"/>
    <w:rsid w:val="009666BF"/>
    <w:rsid w:val="00967028"/>
    <w:rsid w:val="00967293"/>
    <w:rsid w:val="00967361"/>
    <w:rsid w:val="0096796F"/>
    <w:rsid w:val="00970820"/>
    <w:rsid w:val="00971A29"/>
    <w:rsid w:val="00971F08"/>
    <w:rsid w:val="00972E22"/>
    <w:rsid w:val="00974B09"/>
    <w:rsid w:val="009754F0"/>
    <w:rsid w:val="00975F39"/>
    <w:rsid w:val="0097603D"/>
    <w:rsid w:val="009767B6"/>
    <w:rsid w:val="00976949"/>
    <w:rsid w:val="00977E71"/>
    <w:rsid w:val="00980477"/>
    <w:rsid w:val="0098075F"/>
    <w:rsid w:val="009810E3"/>
    <w:rsid w:val="00982773"/>
    <w:rsid w:val="00982951"/>
    <w:rsid w:val="00982AE7"/>
    <w:rsid w:val="00982C79"/>
    <w:rsid w:val="0098453C"/>
    <w:rsid w:val="00985253"/>
    <w:rsid w:val="009853B3"/>
    <w:rsid w:val="00986A74"/>
    <w:rsid w:val="00990103"/>
    <w:rsid w:val="009905A1"/>
    <w:rsid w:val="00990630"/>
    <w:rsid w:val="009910A9"/>
    <w:rsid w:val="00991255"/>
    <w:rsid w:val="00991303"/>
    <w:rsid w:val="00991761"/>
    <w:rsid w:val="00991783"/>
    <w:rsid w:val="00991E80"/>
    <w:rsid w:val="009921F0"/>
    <w:rsid w:val="00992B2D"/>
    <w:rsid w:val="00993485"/>
    <w:rsid w:val="00993EE4"/>
    <w:rsid w:val="00994120"/>
    <w:rsid w:val="00994722"/>
    <w:rsid w:val="00994DCA"/>
    <w:rsid w:val="009955BF"/>
    <w:rsid w:val="00995DE4"/>
    <w:rsid w:val="009960EC"/>
    <w:rsid w:val="00996836"/>
    <w:rsid w:val="009970DD"/>
    <w:rsid w:val="009971B9"/>
    <w:rsid w:val="0099746F"/>
    <w:rsid w:val="00997DF1"/>
    <w:rsid w:val="009A0925"/>
    <w:rsid w:val="009A0C9C"/>
    <w:rsid w:val="009A0FBA"/>
    <w:rsid w:val="009A153E"/>
    <w:rsid w:val="009A1601"/>
    <w:rsid w:val="009A1955"/>
    <w:rsid w:val="009A1BC3"/>
    <w:rsid w:val="009A27B7"/>
    <w:rsid w:val="009A3BB6"/>
    <w:rsid w:val="009A462D"/>
    <w:rsid w:val="009A5ABF"/>
    <w:rsid w:val="009A5CBA"/>
    <w:rsid w:val="009A7279"/>
    <w:rsid w:val="009A7889"/>
    <w:rsid w:val="009A79F6"/>
    <w:rsid w:val="009A7D17"/>
    <w:rsid w:val="009B1F30"/>
    <w:rsid w:val="009B34E2"/>
    <w:rsid w:val="009B3AC2"/>
    <w:rsid w:val="009B3B1E"/>
    <w:rsid w:val="009B4DF4"/>
    <w:rsid w:val="009B564E"/>
    <w:rsid w:val="009B66AB"/>
    <w:rsid w:val="009B7D2C"/>
    <w:rsid w:val="009B7E87"/>
    <w:rsid w:val="009C0169"/>
    <w:rsid w:val="009C01B8"/>
    <w:rsid w:val="009C05B5"/>
    <w:rsid w:val="009C1031"/>
    <w:rsid w:val="009C2308"/>
    <w:rsid w:val="009C403E"/>
    <w:rsid w:val="009C5427"/>
    <w:rsid w:val="009C546B"/>
    <w:rsid w:val="009C6B93"/>
    <w:rsid w:val="009D0AB7"/>
    <w:rsid w:val="009D0FFC"/>
    <w:rsid w:val="009D155D"/>
    <w:rsid w:val="009D1684"/>
    <w:rsid w:val="009D17F6"/>
    <w:rsid w:val="009D2B4E"/>
    <w:rsid w:val="009D4FF0"/>
    <w:rsid w:val="009D5CB6"/>
    <w:rsid w:val="009D679A"/>
    <w:rsid w:val="009D6F69"/>
    <w:rsid w:val="009D703C"/>
    <w:rsid w:val="009D718F"/>
    <w:rsid w:val="009E068F"/>
    <w:rsid w:val="009E0F2F"/>
    <w:rsid w:val="009E14E0"/>
    <w:rsid w:val="009E1CDA"/>
    <w:rsid w:val="009E1D3B"/>
    <w:rsid w:val="009E25DB"/>
    <w:rsid w:val="009E35DB"/>
    <w:rsid w:val="009E3A9A"/>
    <w:rsid w:val="009E47A3"/>
    <w:rsid w:val="009E6F17"/>
    <w:rsid w:val="009F08F3"/>
    <w:rsid w:val="009F0E2B"/>
    <w:rsid w:val="009F25DB"/>
    <w:rsid w:val="009F344F"/>
    <w:rsid w:val="009F4B6F"/>
    <w:rsid w:val="009F5381"/>
    <w:rsid w:val="009F5BA6"/>
    <w:rsid w:val="009F6027"/>
    <w:rsid w:val="009F76A7"/>
    <w:rsid w:val="00A00D95"/>
    <w:rsid w:val="00A01F54"/>
    <w:rsid w:val="00A0238E"/>
    <w:rsid w:val="00A031D8"/>
    <w:rsid w:val="00A04564"/>
    <w:rsid w:val="00A04692"/>
    <w:rsid w:val="00A048A8"/>
    <w:rsid w:val="00A04F49"/>
    <w:rsid w:val="00A05D41"/>
    <w:rsid w:val="00A05E4F"/>
    <w:rsid w:val="00A06018"/>
    <w:rsid w:val="00A0616C"/>
    <w:rsid w:val="00A06949"/>
    <w:rsid w:val="00A06B19"/>
    <w:rsid w:val="00A0727D"/>
    <w:rsid w:val="00A0746B"/>
    <w:rsid w:val="00A07CFD"/>
    <w:rsid w:val="00A10A50"/>
    <w:rsid w:val="00A13D98"/>
    <w:rsid w:val="00A13E54"/>
    <w:rsid w:val="00A13F70"/>
    <w:rsid w:val="00A15628"/>
    <w:rsid w:val="00A15E1D"/>
    <w:rsid w:val="00A16C9E"/>
    <w:rsid w:val="00A174F2"/>
    <w:rsid w:val="00A17F63"/>
    <w:rsid w:val="00A207CC"/>
    <w:rsid w:val="00A2088D"/>
    <w:rsid w:val="00A20B77"/>
    <w:rsid w:val="00A21058"/>
    <w:rsid w:val="00A2193B"/>
    <w:rsid w:val="00A22D93"/>
    <w:rsid w:val="00A2351A"/>
    <w:rsid w:val="00A261C2"/>
    <w:rsid w:val="00A264A9"/>
    <w:rsid w:val="00A26C26"/>
    <w:rsid w:val="00A26DCF"/>
    <w:rsid w:val="00A276E2"/>
    <w:rsid w:val="00A27785"/>
    <w:rsid w:val="00A30187"/>
    <w:rsid w:val="00A30D03"/>
    <w:rsid w:val="00A312B7"/>
    <w:rsid w:val="00A3185D"/>
    <w:rsid w:val="00A3226A"/>
    <w:rsid w:val="00A32BA3"/>
    <w:rsid w:val="00A333BE"/>
    <w:rsid w:val="00A3448A"/>
    <w:rsid w:val="00A34C30"/>
    <w:rsid w:val="00A36086"/>
    <w:rsid w:val="00A36297"/>
    <w:rsid w:val="00A3639D"/>
    <w:rsid w:val="00A3690F"/>
    <w:rsid w:val="00A37921"/>
    <w:rsid w:val="00A379F0"/>
    <w:rsid w:val="00A416C7"/>
    <w:rsid w:val="00A41E2B"/>
    <w:rsid w:val="00A424B5"/>
    <w:rsid w:val="00A428DA"/>
    <w:rsid w:val="00A42D90"/>
    <w:rsid w:val="00A43803"/>
    <w:rsid w:val="00A45933"/>
    <w:rsid w:val="00A45B74"/>
    <w:rsid w:val="00A45D2A"/>
    <w:rsid w:val="00A4662D"/>
    <w:rsid w:val="00A478C4"/>
    <w:rsid w:val="00A47D69"/>
    <w:rsid w:val="00A50CF6"/>
    <w:rsid w:val="00A50DCE"/>
    <w:rsid w:val="00A518DA"/>
    <w:rsid w:val="00A52046"/>
    <w:rsid w:val="00A52E1D"/>
    <w:rsid w:val="00A549A0"/>
    <w:rsid w:val="00A54E0A"/>
    <w:rsid w:val="00A55D87"/>
    <w:rsid w:val="00A56FA4"/>
    <w:rsid w:val="00A57E8C"/>
    <w:rsid w:val="00A6123F"/>
    <w:rsid w:val="00A61499"/>
    <w:rsid w:val="00A62A77"/>
    <w:rsid w:val="00A63483"/>
    <w:rsid w:val="00A638FA"/>
    <w:rsid w:val="00A63AE1"/>
    <w:rsid w:val="00A63DA7"/>
    <w:rsid w:val="00A64B0B"/>
    <w:rsid w:val="00A657D7"/>
    <w:rsid w:val="00A660AC"/>
    <w:rsid w:val="00A67E6C"/>
    <w:rsid w:val="00A70FBE"/>
    <w:rsid w:val="00A713A7"/>
    <w:rsid w:val="00A71888"/>
    <w:rsid w:val="00A71939"/>
    <w:rsid w:val="00A71B99"/>
    <w:rsid w:val="00A71BAC"/>
    <w:rsid w:val="00A7253A"/>
    <w:rsid w:val="00A72BB0"/>
    <w:rsid w:val="00A72BEE"/>
    <w:rsid w:val="00A73092"/>
    <w:rsid w:val="00A7341A"/>
    <w:rsid w:val="00A739D0"/>
    <w:rsid w:val="00A74CCC"/>
    <w:rsid w:val="00A7533E"/>
    <w:rsid w:val="00A75C77"/>
    <w:rsid w:val="00A761D4"/>
    <w:rsid w:val="00A76550"/>
    <w:rsid w:val="00A76691"/>
    <w:rsid w:val="00A769A1"/>
    <w:rsid w:val="00A7716C"/>
    <w:rsid w:val="00A77EC4"/>
    <w:rsid w:val="00A80A87"/>
    <w:rsid w:val="00A80EC1"/>
    <w:rsid w:val="00A80EFB"/>
    <w:rsid w:val="00A8168F"/>
    <w:rsid w:val="00A83322"/>
    <w:rsid w:val="00A845DC"/>
    <w:rsid w:val="00A85379"/>
    <w:rsid w:val="00A85777"/>
    <w:rsid w:val="00A869D1"/>
    <w:rsid w:val="00A86EB1"/>
    <w:rsid w:val="00A91DEA"/>
    <w:rsid w:val="00A92879"/>
    <w:rsid w:val="00A92D36"/>
    <w:rsid w:val="00A936A2"/>
    <w:rsid w:val="00A93EE6"/>
    <w:rsid w:val="00A9442A"/>
    <w:rsid w:val="00A946CB"/>
    <w:rsid w:val="00A95950"/>
    <w:rsid w:val="00A9693F"/>
    <w:rsid w:val="00A9729A"/>
    <w:rsid w:val="00A97849"/>
    <w:rsid w:val="00AA016F"/>
    <w:rsid w:val="00AA022D"/>
    <w:rsid w:val="00AA1ED6"/>
    <w:rsid w:val="00AA209C"/>
    <w:rsid w:val="00AA27D9"/>
    <w:rsid w:val="00AA318C"/>
    <w:rsid w:val="00AA3472"/>
    <w:rsid w:val="00AA3A78"/>
    <w:rsid w:val="00AA3EC6"/>
    <w:rsid w:val="00AA4966"/>
    <w:rsid w:val="00AA51D6"/>
    <w:rsid w:val="00AA60C7"/>
    <w:rsid w:val="00AA6570"/>
    <w:rsid w:val="00AA7F9D"/>
    <w:rsid w:val="00AA7FE6"/>
    <w:rsid w:val="00AB04C7"/>
    <w:rsid w:val="00AB0BC8"/>
    <w:rsid w:val="00AB11CA"/>
    <w:rsid w:val="00AB14D9"/>
    <w:rsid w:val="00AB2007"/>
    <w:rsid w:val="00AB2E04"/>
    <w:rsid w:val="00AB3F0E"/>
    <w:rsid w:val="00AB45AB"/>
    <w:rsid w:val="00AB4AB8"/>
    <w:rsid w:val="00AB4BB1"/>
    <w:rsid w:val="00AB5CAF"/>
    <w:rsid w:val="00AB5F30"/>
    <w:rsid w:val="00AB655E"/>
    <w:rsid w:val="00AB7690"/>
    <w:rsid w:val="00AB76E7"/>
    <w:rsid w:val="00AB7B23"/>
    <w:rsid w:val="00AB7E7D"/>
    <w:rsid w:val="00AC007F"/>
    <w:rsid w:val="00AC028F"/>
    <w:rsid w:val="00AC0D70"/>
    <w:rsid w:val="00AC296A"/>
    <w:rsid w:val="00AC2B37"/>
    <w:rsid w:val="00AC2ECD"/>
    <w:rsid w:val="00AC3119"/>
    <w:rsid w:val="00AC4531"/>
    <w:rsid w:val="00AC49FB"/>
    <w:rsid w:val="00AC4F59"/>
    <w:rsid w:val="00AC53B6"/>
    <w:rsid w:val="00AC5A10"/>
    <w:rsid w:val="00AD0AA3"/>
    <w:rsid w:val="00AD255A"/>
    <w:rsid w:val="00AD2ED0"/>
    <w:rsid w:val="00AD34D9"/>
    <w:rsid w:val="00AD3535"/>
    <w:rsid w:val="00AD35A1"/>
    <w:rsid w:val="00AD3670"/>
    <w:rsid w:val="00AD3A0E"/>
    <w:rsid w:val="00AD3AC4"/>
    <w:rsid w:val="00AD3B5F"/>
    <w:rsid w:val="00AD3F94"/>
    <w:rsid w:val="00AD468A"/>
    <w:rsid w:val="00AD4A5A"/>
    <w:rsid w:val="00AD4D9F"/>
    <w:rsid w:val="00AD64ED"/>
    <w:rsid w:val="00AD68A1"/>
    <w:rsid w:val="00AD70B9"/>
    <w:rsid w:val="00AE27AC"/>
    <w:rsid w:val="00AE35D2"/>
    <w:rsid w:val="00AE40E0"/>
    <w:rsid w:val="00AE45D7"/>
    <w:rsid w:val="00AE46D6"/>
    <w:rsid w:val="00AE4DBA"/>
    <w:rsid w:val="00AE4F07"/>
    <w:rsid w:val="00AE5C6D"/>
    <w:rsid w:val="00AE7F85"/>
    <w:rsid w:val="00AF008A"/>
    <w:rsid w:val="00AF0B4A"/>
    <w:rsid w:val="00AF15EC"/>
    <w:rsid w:val="00AF1C5D"/>
    <w:rsid w:val="00AF2F8E"/>
    <w:rsid w:val="00AF385E"/>
    <w:rsid w:val="00AF39B1"/>
    <w:rsid w:val="00AF42D7"/>
    <w:rsid w:val="00AF4729"/>
    <w:rsid w:val="00AF5E73"/>
    <w:rsid w:val="00AF7067"/>
    <w:rsid w:val="00B006FE"/>
    <w:rsid w:val="00B007CB"/>
    <w:rsid w:val="00B02739"/>
    <w:rsid w:val="00B02AA9"/>
    <w:rsid w:val="00B02BB7"/>
    <w:rsid w:val="00B02FA3"/>
    <w:rsid w:val="00B0323E"/>
    <w:rsid w:val="00B045B2"/>
    <w:rsid w:val="00B049C4"/>
    <w:rsid w:val="00B05084"/>
    <w:rsid w:val="00B062EE"/>
    <w:rsid w:val="00B114D7"/>
    <w:rsid w:val="00B13580"/>
    <w:rsid w:val="00B13AB5"/>
    <w:rsid w:val="00B14256"/>
    <w:rsid w:val="00B157F9"/>
    <w:rsid w:val="00B163E2"/>
    <w:rsid w:val="00B16415"/>
    <w:rsid w:val="00B17613"/>
    <w:rsid w:val="00B17F40"/>
    <w:rsid w:val="00B20256"/>
    <w:rsid w:val="00B20BF9"/>
    <w:rsid w:val="00B20D09"/>
    <w:rsid w:val="00B20DE4"/>
    <w:rsid w:val="00B215F4"/>
    <w:rsid w:val="00B21FC3"/>
    <w:rsid w:val="00B235C6"/>
    <w:rsid w:val="00B2486C"/>
    <w:rsid w:val="00B249F3"/>
    <w:rsid w:val="00B26473"/>
    <w:rsid w:val="00B2763F"/>
    <w:rsid w:val="00B2770E"/>
    <w:rsid w:val="00B27AAC"/>
    <w:rsid w:val="00B27FA1"/>
    <w:rsid w:val="00B30869"/>
    <w:rsid w:val="00B30929"/>
    <w:rsid w:val="00B324F3"/>
    <w:rsid w:val="00B33832"/>
    <w:rsid w:val="00B33891"/>
    <w:rsid w:val="00B3409D"/>
    <w:rsid w:val="00B36502"/>
    <w:rsid w:val="00B372AA"/>
    <w:rsid w:val="00B37EAE"/>
    <w:rsid w:val="00B40445"/>
    <w:rsid w:val="00B409E0"/>
    <w:rsid w:val="00B40D35"/>
    <w:rsid w:val="00B40F81"/>
    <w:rsid w:val="00B415E6"/>
    <w:rsid w:val="00B41888"/>
    <w:rsid w:val="00B41D41"/>
    <w:rsid w:val="00B422DB"/>
    <w:rsid w:val="00B42C34"/>
    <w:rsid w:val="00B43206"/>
    <w:rsid w:val="00B43CD9"/>
    <w:rsid w:val="00B440F5"/>
    <w:rsid w:val="00B4438A"/>
    <w:rsid w:val="00B45789"/>
    <w:rsid w:val="00B457D8"/>
    <w:rsid w:val="00B458C3"/>
    <w:rsid w:val="00B45A52"/>
    <w:rsid w:val="00B46175"/>
    <w:rsid w:val="00B46245"/>
    <w:rsid w:val="00B46717"/>
    <w:rsid w:val="00B470C3"/>
    <w:rsid w:val="00B47326"/>
    <w:rsid w:val="00B47C05"/>
    <w:rsid w:val="00B47DD3"/>
    <w:rsid w:val="00B51D36"/>
    <w:rsid w:val="00B51F73"/>
    <w:rsid w:val="00B528CE"/>
    <w:rsid w:val="00B53EFE"/>
    <w:rsid w:val="00B5406B"/>
    <w:rsid w:val="00B548B7"/>
    <w:rsid w:val="00B54D40"/>
    <w:rsid w:val="00B55966"/>
    <w:rsid w:val="00B56DC0"/>
    <w:rsid w:val="00B56FA2"/>
    <w:rsid w:val="00B57FEA"/>
    <w:rsid w:val="00B600F5"/>
    <w:rsid w:val="00B60994"/>
    <w:rsid w:val="00B60A0C"/>
    <w:rsid w:val="00B60DE9"/>
    <w:rsid w:val="00B61877"/>
    <w:rsid w:val="00B624D3"/>
    <w:rsid w:val="00B63111"/>
    <w:rsid w:val="00B632EA"/>
    <w:rsid w:val="00B63F38"/>
    <w:rsid w:val="00B64052"/>
    <w:rsid w:val="00B6622E"/>
    <w:rsid w:val="00B662A7"/>
    <w:rsid w:val="00B664C7"/>
    <w:rsid w:val="00B665E2"/>
    <w:rsid w:val="00B66BDD"/>
    <w:rsid w:val="00B70EE9"/>
    <w:rsid w:val="00B713D8"/>
    <w:rsid w:val="00B733F7"/>
    <w:rsid w:val="00B739F6"/>
    <w:rsid w:val="00B74D76"/>
    <w:rsid w:val="00B74EB0"/>
    <w:rsid w:val="00B75168"/>
    <w:rsid w:val="00B75836"/>
    <w:rsid w:val="00B75BFF"/>
    <w:rsid w:val="00B75F1C"/>
    <w:rsid w:val="00B7777C"/>
    <w:rsid w:val="00B77854"/>
    <w:rsid w:val="00B77C8A"/>
    <w:rsid w:val="00B80AFB"/>
    <w:rsid w:val="00B80C97"/>
    <w:rsid w:val="00B81A6C"/>
    <w:rsid w:val="00B82217"/>
    <w:rsid w:val="00B835DD"/>
    <w:rsid w:val="00B83DBC"/>
    <w:rsid w:val="00B84518"/>
    <w:rsid w:val="00B84A53"/>
    <w:rsid w:val="00B84BE2"/>
    <w:rsid w:val="00B85DE5"/>
    <w:rsid w:val="00B862E7"/>
    <w:rsid w:val="00B90DCE"/>
    <w:rsid w:val="00B90F73"/>
    <w:rsid w:val="00B927CB"/>
    <w:rsid w:val="00B935E4"/>
    <w:rsid w:val="00B93B59"/>
    <w:rsid w:val="00B9406A"/>
    <w:rsid w:val="00B947C1"/>
    <w:rsid w:val="00B97AA5"/>
    <w:rsid w:val="00BA019C"/>
    <w:rsid w:val="00BA060D"/>
    <w:rsid w:val="00BA14EF"/>
    <w:rsid w:val="00BA2280"/>
    <w:rsid w:val="00BA2385"/>
    <w:rsid w:val="00BA2A08"/>
    <w:rsid w:val="00BA2B90"/>
    <w:rsid w:val="00BA3028"/>
    <w:rsid w:val="00BA33B9"/>
    <w:rsid w:val="00BA4FA9"/>
    <w:rsid w:val="00BA56D2"/>
    <w:rsid w:val="00BA76E0"/>
    <w:rsid w:val="00BB0447"/>
    <w:rsid w:val="00BB04F0"/>
    <w:rsid w:val="00BB2A25"/>
    <w:rsid w:val="00BB3C07"/>
    <w:rsid w:val="00BB3D83"/>
    <w:rsid w:val="00BB4224"/>
    <w:rsid w:val="00BB44D7"/>
    <w:rsid w:val="00BB4DE9"/>
    <w:rsid w:val="00BB51E9"/>
    <w:rsid w:val="00BB54B2"/>
    <w:rsid w:val="00BB6789"/>
    <w:rsid w:val="00BB6B9D"/>
    <w:rsid w:val="00BB70A0"/>
    <w:rsid w:val="00BC0FDC"/>
    <w:rsid w:val="00BC10F8"/>
    <w:rsid w:val="00BC1D4B"/>
    <w:rsid w:val="00BC3053"/>
    <w:rsid w:val="00BC3F5C"/>
    <w:rsid w:val="00BC4D2E"/>
    <w:rsid w:val="00BC5DD0"/>
    <w:rsid w:val="00BC6C93"/>
    <w:rsid w:val="00BC70D8"/>
    <w:rsid w:val="00BC7F01"/>
    <w:rsid w:val="00BD0296"/>
    <w:rsid w:val="00BD361A"/>
    <w:rsid w:val="00BD3CE0"/>
    <w:rsid w:val="00BD4106"/>
    <w:rsid w:val="00BD41F2"/>
    <w:rsid w:val="00BD46C3"/>
    <w:rsid w:val="00BD48AC"/>
    <w:rsid w:val="00BD4ACF"/>
    <w:rsid w:val="00BD5735"/>
    <w:rsid w:val="00BD586A"/>
    <w:rsid w:val="00BD5F1A"/>
    <w:rsid w:val="00BD64C6"/>
    <w:rsid w:val="00BD67C3"/>
    <w:rsid w:val="00BE1234"/>
    <w:rsid w:val="00BE204F"/>
    <w:rsid w:val="00BE2FA6"/>
    <w:rsid w:val="00BE333F"/>
    <w:rsid w:val="00BE41AA"/>
    <w:rsid w:val="00BE69DA"/>
    <w:rsid w:val="00BE6FEB"/>
    <w:rsid w:val="00BE7406"/>
    <w:rsid w:val="00BE7603"/>
    <w:rsid w:val="00BE7F11"/>
    <w:rsid w:val="00BF0A3D"/>
    <w:rsid w:val="00BF1E8D"/>
    <w:rsid w:val="00BF259D"/>
    <w:rsid w:val="00BF3279"/>
    <w:rsid w:val="00BF3E1F"/>
    <w:rsid w:val="00BF42DB"/>
    <w:rsid w:val="00BF48F9"/>
    <w:rsid w:val="00BF53DD"/>
    <w:rsid w:val="00BF66D5"/>
    <w:rsid w:val="00BF67DF"/>
    <w:rsid w:val="00BF6A6E"/>
    <w:rsid w:val="00BF6FBE"/>
    <w:rsid w:val="00BF74C7"/>
    <w:rsid w:val="00C015F1"/>
    <w:rsid w:val="00C01A70"/>
    <w:rsid w:val="00C01F33"/>
    <w:rsid w:val="00C02CC6"/>
    <w:rsid w:val="00C038FC"/>
    <w:rsid w:val="00C040F7"/>
    <w:rsid w:val="00C044AB"/>
    <w:rsid w:val="00C0453C"/>
    <w:rsid w:val="00C045B4"/>
    <w:rsid w:val="00C04F44"/>
    <w:rsid w:val="00C05515"/>
    <w:rsid w:val="00C05706"/>
    <w:rsid w:val="00C064F6"/>
    <w:rsid w:val="00C06932"/>
    <w:rsid w:val="00C06F2D"/>
    <w:rsid w:val="00C07377"/>
    <w:rsid w:val="00C10478"/>
    <w:rsid w:val="00C10F16"/>
    <w:rsid w:val="00C10F3D"/>
    <w:rsid w:val="00C11B58"/>
    <w:rsid w:val="00C1203B"/>
    <w:rsid w:val="00C12107"/>
    <w:rsid w:val="00C1270E"/>
    <w:rsid w:val="00C12C2D"/>
    <w:rsid w:val="00C133FD"/>
    <w:rsid w:val="00C140F7"/>
    <w:rsid w:val="00C14D4B"/>
    <w:rsid w:val="00C154BB"/>
    <w:rsid w:val="00C16C62"/>
    <w:rsid w:val="00C16D80"/>
    <w:rsid w:val="00C16DC7"/>
    <w:rsid w:val="00C1770E"/>
    <w:rsid w:val="00C2015B"/>
    <w:rsid w:val="00C20CC7"/>
    <w:rsid w:val="00C22ACD"/>
    <w:rsid w:val="00C22CE0"/>
    <w:rsid w:val="00C22EF5"/>
    <w:rsid w:val="00C22F60"/>
    <w:rsid w:val="00C23114"/>
    <w:rsid w:val="00C23156"/>
    <w:rsid w:val="00C2315F"/>
    <w:rsid w:val="00C25760"/>
    <w:rsid w:val="00C25F19"/>
    <w:rsid w:val="00C25F8C"/>
    <w:rsid w:val="00C279B5"/>
    <w:rsid w:val="00C27B89"/>
    <w:rsid w:val="00C27C45"/>
    <w:rsid w:val="00C27FAA"/>
    <w:rsid w:val="00C30A2C"/>
    <w:rsid w:val="00C32E08"/>
    <w:rsid w:val="00C34831"/>
    <w:rsid w:val="00C34A60"/>
    <w:rsid w:val="00C369D5"/>
    <w:rsid w:val="00C3719D"/>
    <w:rsid w:val="00C37C98"/>
    <w:rsid w:val="00C37CB2"/>
    <w:rsid w:val="00C37E41"/>
    <w:rsid w:val="00C403F4"/>
    <w:rsid w:val="00C40A9D"/>
    <w:rsid w:val="00C4181B"/>
    <w:rsid w:val="00C42003"/>
    <w:rsid w:val="00C42260"/>
    <w:rsid w:val="00C429DD"/>
    <w:rsid w:val="00C42CA7"/>
    <w:rsid w:val="00C43DCD"/>
    <w:rsid w:val="00C44AB9"/>
    <w:rsid w:val="00C45088"/>
    <w:rsid w:val="00C452BA"/>
    <w:rsid w:val="00C465D4"/>
    <w:rsid w:val="00C46A73"/>
    <w:rsid w:val="00C46D49"/>
    <w:rsid w:val="00C46ECA"/>
    <w:rsid w:val="00C473A5"/>
    <w:rsid w:val="00C47660"/>
    <w:rsid w:val="00C50E52"/>
    <w:rsid w:val="00C51CA2"/>
    <w:rsid w:val="00C51FEE"/>
    <w:rsid w:val="00C521B3"/>
    <w:rsid w:val="00C5228C"/>
    <w:rsid w:val="00C52C3D"/>
    <w:rsid w:val="00C53173"/>
    <w:rsid w:val="00C5474C"/>
    <w:rsid w:val="00C54995"/>
    <w:rsid w:val="00C54D41"/>
    <w:rsid w:val="00C55EBD"/>
    <w:rsid w:val="00C56023"/>
    <w:rsid w:val="00C5650D"/>
    <w:rsid w:val="00C573A9"/>
    <w:rsid w:val="00C57761"/>
    <w:rsid w:val="00C601F9"/>
    <w:rsid w:val="00C606F3"/>
    <w:rsid w:val="00C60755"/>
    <w:rsid w:val="00C60783"/>
    <w:rsid w:val="00C61559"/>
    <w:rsid w:val="00C61583"/>
    <w:rsid w:val="00C63F5B"/>
    <w:rsid w:val="00C64672"/>
    <w:rsid w:val="00C64825"/>
    <w:rsid w:val="00C64956"/>
    <w:rsid w:val="00C65AF0"/>
    <w:rsid w:val="00C65DDA"/>
    <w:rsid w:val="00C6666C"/>
    <w:rsid w:val="00C70697"/>
    <w:rsid w:val="00C70D91"/>
    <w:rsid w:val="00C71DAD"/>
    <w:rsid w:val="00C72093"/>
    <w:rsid w:val="00C728AF"/>
    <w:rsid w:val="00C72EF4"/>
    <w:rsid w:val="00C732BC"/>
    <w:rsid w:val="00C732FA"/>
    <w:rsid w:val="00C740D8"/>
    <w:rsid w:val="00C74215"/>
    <w:rsid w:val="00C744FE"/>
    <w:rsid w:val="00C7473C"/>
    <w:rsid w:val="00C74822"/>
    <w:rsid w:val="00C75D2F"/>
    <w:rsid w:val="00C767BE"/>
    <w:rsid w:val="00C76E3C"/>
    <w:rsid w:val="00C80516"/>
    <w:rsid w:val="00C81568"/>
    <w:rsid w:val="00C81F26"/>
    <w:rsid w:val="00C834B1"/>
    <w:rsid w:val="00C84136"/>
    <w:rsid w:val="00C848DF"/>
    <w:rsid w:val="00C852B9"/>
    <w:rsid w:val="00C852D6"/>
    <w:rsid w:val="00C86476"/>
    <w:rsid w:val="00C86585"/>
    <w:rsid w:val="00C8691B"/>
    <w:rsid w:val="00C873D1"/>
    <w:rsid w:val="00C900AF"/>
    <w:rsid w:val="00C9027A"/>
    <w:rsid w:val="00C9068E"/>
    <w:rsid w:val="00C906CE"/>
    <w:rsid w:val="00C90C67"/>
    <w:rsid w:val="00C91504"/>
    <w:rsid w:val="00C91629"/>
    <w:rsid w:val="00C91765"/>
    <w:rsid w:val="00C9380E"/>
    <w:rsid w:val="00C93814"/>
    <w:rsid w:val="00C93C4B"/>
    <w:rsid w:val="00C944AB"/>
    <w:rsid w:val="00C95521"/>
    <w:rsid w:val="00C95B11"/>
    <w:rsid w:val="00C95B40"/>
    <w:rsid w:val="00C96CAC"/>
    <w:rsid w:val="00C975ED"/>
    <w:rsid w:val="00C97BE9"/>
    <w:rsid w:val="00CA0539"/>
    <w:rsid w:val="00CA1AE7"/>
    <w:rsid w:val="00CA1ED8"/>
    <w:rsid w:val="00CA29B8"/>
    <w:rsid w:val="00CA2C69"/>
    <w:rsid w:val="00CA4278"/>
    <w:rsid w:val="00CA445D"/>
    <w:rsid w:val="00CA484A"/>
    <w:rsid w:val="00CA4F97"/>
    <w:rsid w:val="00CA5574"/>
    <w:rsid w:val="00CA5EC7"/>
    <w:rsid w:val="00CA6438"/>
    <w:rsid w:val="00CA7AB6"/>
    <w:rsid w:val="00CA7C5C"/>
    <w:rsid w:val="00CB0988"/>
    <w:rsid w:val="00CB15D1"/>
    <w:rsid w:val="00CB1F63"/>
    <w:rsid w:val="00CB2E37"/>
    <w:rsid w:val="00CB3ACB"/>
    <w:rsid w:val="00CB4A31"/>
    <w:rsid w:val="00CB533E"/>
    <w:rsid w:val="00CB686E"/>
    <w:rsid w:val="00CB6E50"/>
    <w:rsid w:val="00CB7170"/>
    <w:rsid w:val="00CB745F"/>
    <w:rsid w:val="00CB7ABA"/>
    <w:rsid w:val="00CB7B40"/>
    <w:rsid w:val="00CB7BF1"/>
    <w:rsid w:val="00CC002E"/>
    <w:rsid w:val="00CC0174"/>
    <w:rsid w:val="00CC040E"/>
    <w:rsid w:val="00CC05FB"/>
    <w:rsid w:val="00CC111F"/>
    <w:rsid w:val="00CC1A23"/>
    <w:rsid w:val="00CC2011"/>
    <w:rsid w:val="00CC2613"/>
    <w:rsid w:val="00CC27D2"/>
    <w:rsid w:val="00CC2ED3"/>
    <w:rsid w:val="00CC3D52"/>
    <w:rsid w:val="00CC3EA0"/>
    <w:rsid w:val="00CC48BB"/>
    <w:rsid w:val="00CC4C58"/>
    <w:rsid w:val="00CC75F4"/>
    <w:rsid w:val="00CC7B45"/>
    <w:rsid w:val="00CD02A7"/>
    <w:rsid w:val="00CD1188"/>
    <w:rsid w:val="00CD23C7"/>
    <w:rsid w:val="00CD2ED1"/>
    <w:rsid w:val="00CD337B"/>
    <w:rsid w:val="00CD3815"/>
    <w:rsid w:val="00CD5148"/>
    <w:rsid w:val="00CD58BD"/>
    <w:rsid w:val="00CD63E9"/>
    <w:rsid w:val="00CD68F6"/>
    <w:rsid w:val="00CD6BC0"/>
    <w:rsid w:val="00CE01DF"/>
    <w:rsid w:val="00CE0424"/>
    <w:rsid w:val="00CE174F"/>
    <w:rsid w:val="00CE201C"/>
    <w:rsid w:val="00CE203E"/>
    <w:rsid w:val="00CE245F"/>
    <w:rsid w:val="00CE4133"/>
    <w:rsid w:val="00CE7514"/>
    <w:rsid w:val="00CE7561"/>
    <w:rsid w:val="00CE7CE9"/>
    <w:rsid w:val="00CE7F23"/>
    <w:rsid w:val="00CF0330"/>
    <w:rsid w:val="00CF1354"/>
    <w:rsid w:val="00CF2191"/>
    <w:rsid w:val="00CF2676"/>
    <w:rsid w:val="00CF2F1E"/>
    <w:rsid w:val="00CF3B1F"/>
    <w:rsid w:val="00CF3BF6"/>
    <w:rsid w:val="00CF4373"/>
    <w:rsid w:val="00CF625B"/>
    <w:rsid w:val="00CF687E"/>
    <w:rsid w:val="00CF6880"/>
    <w:rsid w:val="00CF7564"/>
    <w:rsid w:val="00CF77CF"/>
    <w:rsid w:val="00D0084A"/>
    <w:rsid w:val="00D00A89"/>
    <w:rsid w:val="00D01AEE"/>
    <w:rsid w:val="00D0349B"/>
    <w:rsid w:val="00D03749"/>
    <w:rsid w:val="00D03B1C"/>
    <w:rsid w:val="00D03D7B"/>
    <w:rsid w:val="00D0448B"/>
    <w:rsid w:val="00D04F65"/>
    <w:rsid w:val="00D05121"/>
    <w:rsid w:val="00D05196"/>
    <w:rsid w:val="00D059F9"/>
    <w:rsid w:val="00D07C93"/>
    <w:rsid w:val="00D10249"/>
    <w:rsid w:val="00D10FCE"/>
    <w:rsid w:val="00D1158A"/>
    <w:rsid w:val="00D115C3"/>
    <w:rsid w:val="00D11897"/>
    <w:rsid w:val="00D12188"/>
    <w:rsid w:val="00D12AA4"/>
    <w:rsid w:val="00D13059"/>
    <w:rsid w:val="00D13135"/>
    <w:rsid w:val="00D131CE"/>
    <w:rsid w:val="00D13CB8"/>
    <w:rsid w:val="00D13E4E"/>
    <w:rsid w:val="00D145E9"/>
    <w:rsid w:val="00D156EB"/>
    <w:rsid w:val="00D159FD"/>
    <w:rsid w:val="00D167C9"/>
    <w:rsid w:val="00D16E4F"/>
    <w:rsid w:val="00D17407"/>
    <w:rsid w:val="00D1783B"/>
    <w:rsid w:val="00D203B9"/>
    <w:rsid w:val="00D20953"/>
    <w:rsid w:val="00D212D7"/>
    <w:rsid w:val="00D2150C"/>
    <w:rsid w:val="00D21726"/>
    <w:rsid w:val="00D22EC7"/>
    <w:rsid w:val="00D23574"/>
    <w:rsid w:val="00D239A7"/>
    <w:rsid w:val="00D23F47"/>
    <w:rsid w:val="00D25294"/>
    <w:rsid w:val="00D27BCD"/>
    <w:rsid w:val="00D30E2C"/>
    <w:rsid w:val="00D31C10"/>
    <w:rsid w:val="00D3248D"/>
    <w:rsid w:val="00D327F0"/>
    <w:rsid w:val="00D33500"/>
    <w:rsid w:val="00D33D67"/>
    <w:rsid w:val="00D344B3"/>
    <w:rsid w:val="00D34647"/>
    <w:rsid w:val="00D34664"/>
    <w:rsid w:val="00D34E96"/>
    <w:rsid w:val="00D35630"/>
    <w:rsid w:val="00D36E71"/>
    <w:rsid w:val="00D3708E"/>
    <w:rsid w:val="00D37D38"/>
    <w:rsid w:val="00D37D87"/>
    <w:rsid w:val="00D40B33"/>
    <w:rsid w:val="00D40BE4"/>
    <w:rsid w:val="00D40DD1"/>
    <w:rsid w:val="00D411DD"/>
    <w:rsid w:val="00D41500"/>
    <w:rsid w:val="00D41A77"/>
    <w:rsid w:val="00D4318F"/>
    <w:rsid w:val="00D438BF"/>
    <w:rsid w:val="00D440E6"/>
    <w:rsid w:val="00D440F8"/>
    <w:rsid w:val="00D4554E"/>
    <w:rsid w:val="00D47A0A"/>
    <w:rsid w:val="00D503F1"/>
    <w:rsid w:val="00D5174E"/>
    <w:rsid w:val="00D5255F"/>
    <w:rsid w:val="00D546FF"/>
    <w:rsid w:val="00D549C6"/>
    <w:rsid w:val="00D55113"/>
    <w:rsid w:val="00D55AD5"/>
    <w:rsid w:val="00D56380"/>
    <w:rsid w:val="00D56DC7"/>
    <w:rsid w:val="00D56F65"/>
    <w:rsid w:val="00D57169"/>
    <w:rsid w:val="00D576CA"/>
    <w:rsid w:val="00D57F32"/>
    <w:rsid w:val="00D60611"/>
    <w:rsid w:val="00D6127C"/>
    <w:rsid w:val="00D6132E"/>
    <w:rsid w:val="00D61753"/>
    <w:rsid w:val="00D61AF5"/>
    <w:rsid w:val="00D61B00"/>
    <w:rsid w:val="00D63030"/>
    <w:rsid w:val="00D6439F"/>
    <w:rsid w:val="00D6486B"/>
    <w:rsid w:val="00D64FA3"/>
    <w:rsid w:val="00D6528D"/>
    <w:rsid w:val="00D652B5"/>
    <w:rsid w:val="00D6530D"/>
    <w:rsid w:val="00D65445"/>
    <w:rsid w:val="00D6590F"/>
    <w:rsid w:val="00D65CBB"/>
    <w:rsid w:val="00D66155"/>
    <w:rsid w:val="00D66762"/>
    <w:rsid w:val="00D67535"/>
    <w:rsid w:val="00D708B0"/>
    <w:rsid w:val="00D710BA"/>
    <w:rsid w:val="00D71BFD"/>
    <w:rsid w:val="00D71D8E"/>
    <w:rsid w:val="00D72B24"/>
    <w:rsid w:val="00D72F36"/>
    <w:rsid w:val="00D732CB"/>
    <w:rsid w:val="00D738B4"/>
    <w:rsid w:val="00D73945"/>
    <w:rsid w:val="00D76BC4"/>
    <w:rsid w:val="00D77424"/>
    <w:rsid w:val="00D77AA6"/>
    <w:rsid w:val="00D77B1D"/>
    <w:rsid w:val="00D8021F"/>
    <w:rsid w:val="00D80383"/>
    <w:rsid w:val="00D806B5"/>
    <w:rsid w:val="00D81782"/>
    <w:rsid w:val="00D8201F"/>
    <w:rsid w:val="00D82307"/>
    <w:rsid w:val="00D823C6"/>
    <w:rsid w:val="00D82A75"/>
    <w:rsid w:val="00D8327F"/>
    <w:rsid w:val="00D83705"/>
    <w:rsid w:val="00D838AD"/>
    <w:rsid w:val="00D84A83"/>
    <w:rsid w:val="00D84F04"/>
    <w:rsid w:val="00D85243"/>
    <w:rsid w:val="00D859E2"/>
    <w:rsid w:val="00D86CA3"/>
    <w:rsid w:val="00D871CE"/>
    <w:rsid w:val="00D87FE9"/>
    <w:rsid w:val="00D905A0"/>
    <w:rsid w:val="00D90DC3"/>
    <w:rsid w:val="00D9196D"/>
    <w:rsid w:val="00D91BCA"/>
    <w:rsid w:val="00D91E4F"/>
    <w:rsid w:val="00D91EFC"/>
    <w:rsid w:val="00D925A2"/>
    <w:rsid w:val="00D92982"/>
    <w:rsid w:val="00D92A21"/>
    <w:rsid w:val="00D92B1E"/>
    <w:rsid w:val="00D94187"/>
    <w:rsid w:val="00DA02E8"/>
    <w:rsid w:val="00DA1322"/>
    <w:rsid w:val="00DA13F9"/>
    <w:rsid w:val="00DA14EC"/>
    <w:rsid w:val="00DA2840"/>
    <w:rsid w:val="00DA29C8"/>
    <w:rsid w:val="00DA2CE5"/>
    <w:rsid w:val="00DA305E"/>
    <w:rsid w:val="00DA38C2"/>
    <w:rsid w:val="00DA53AD"/>
    <w:rsid w:val="00DA5417"/>
    <w:rsid w:val="00DA56E8"/>
    <w:rsid w:val="00DA6CB0"/>
    <w:rsid w:val="00DB042A"/>
    <w:rsid w:val="00DB0983"/>
    <w:rsid w:val="00DB0A9F"/>
    <w:rsid w:val="00DB0B94"/>
    <w:rsid w:val="00DB0DA6"/>
    <w:rsid w:val="00DB13D5"/>
    <w:rsid w:val="00DB1EFE"/>
    <w:rsid w:val="00DB26B7"/>
    <w:rsid w:val="00DB3707"/>
    <w:rsid w:val="00DB377D"/>
    <w:rsid w:val="00DB630D"/>
    <w:rsid w:val="00DB6D05"/>
    <w:rsid w:val="00DC1DD6"/>
    <w:rsid w:val="00DC22BC"/>
    <w:rsid w:val="00DC2D36"/>
    <w:rsid w:val="00DC2F73"/>
    <w:rsid w:val="00DC3096"/>
    <w:rsid w:val="00DC38A1"/>
    <w:rsid w:val="00DC5002"/>
    <w:rsid w:val="00DC53EF"/>
    <w:rsid w:val="00DC7F20"/>
    <w:rsid w:val="00DD03EA"/>
    <w:rsid w:val="00DD3D9B"/>
    <w:rsid w:val="00DD664E"/>
    <w:rsid w:val="00DD699F"/>
    <w:rsid w:val="00DE00EA"/>
    <w:rsid w:val="00DE0AA9"/>
    <w:rsid w:val="00DE0FBD"/>
    <w:rsid w:val="00DE10DF"/>
    <w:rsid w:val="00DE1E11"/>
    <w:rsid w:val="00DE2235"/>
    <w:rsid w:val="00DE3390"/>
    <w:rsid w:val="00DE3444"/>
    <w:rsid w:val="00DE3BAD"/>
    <w:rsid w:val="00DE3BF6"/>
    <w:rsid w:val="00DE48DA"/>
    <w:rsid w:val="00DE5413"/>
    <w:rsid w:val="00DE5608"/>
    <w:rsid w:val="00DE58D0"/>
    <w:rsid w:val="00DE60C7"/>
    <w:rsid w:val="00DE654F"/>
    <w:rsid w:val="00DF0221"/>
    <w:rsid w:val="00DF069C"/>
    <w:rsid w:val="00DF06B5"/>
    <w:rsid w:val="00DF0B6E"/>
    <w:rsid w:val="00DF15E0"/>
    <w:rsid w:val="00DF37A0"/>
    <w:rsid w:val="00DF4595"/>
    <w:rsid w:val="00DF4D16"/>
    <w:rsid w:val="00DF4EDA"/>
    <w:rsid w:val="00DF5B4C"/>
    <w:rsid w:val="00DF7749"/>
    <w:rsid w:val="00E003EF"/>
    <w:rsid w:val="00E006A8"/>
    <w:rsid w:val="00E006F7"/>
    <w:rsid w:val="00E00EC7"/>
    <w:rsid w:val="00E01FCD"/>
    <w:rsid w:val="00E02731"/>
    <w:rsid w:val="00E03646"/>
    <w:rsid w:val="00E0387F"/>
    <w:rsid w:val="00E038AB"/>
    <w:rsid w:val="00E03F21"/>
    <w:rsid w:val="00E05000"/>
    <w:rsid w:val="00E0552A"/>
    <w:rsid w:val="00E05845"/>
    <w:rsid w:val="00E05E27"/>
    <w:rsid w:val="00E070BF"/>
    <w:rsid w:val="00E102C2"/>
    <w:rsid w:val="00E10805"/>
    <w:rsid w:val="00E110E7"/>
    <w:rsid w:val="00E11B20"/>
    <w:rsid w:val="00E139A9"/>
    <w:rsid w:val="00E15B29"/>
    <w:rsid w:val="00E164AA"/>
    <w:rsid w:val="00E16A79"/>
    <w:rsid w:val="00E16B21"/>
    <w:rsid w:val="00E16D73"/>
    <w:rsid w:val="00E17FA2"/>
    <w:rsid w:val="00E20908"/>
    <w:rsid w:val="00E2138B"/>
    <w:rsid w:val="00E21C96"/>
    <w:rsid w:val="00E22330"/>
    <w:rsid w:val="00E22754"/>
    <w:rsid w:val="00E22931"/>
    <w:rsid w:val="00E23964"/>
    <w:rsid w:val="00E248A7"/>
    <w:rsid w:val="00E24CEF"/>
    <w:rsid w:val="00E251A2"/>
    <w:rsid w:val="00E25BF6"/>
    <w:rsid w:val="00E260B1"/>
    <w:rsid w:val="00E267BB"/>
    <w:rsid w:val="00E30B5A"/>
    <w:rsid w:val="00E3123D"/>
    <w:rsid w:val="00E3126C"/>
    <w:rsid w:val="00E31461"/>
    <w:rsid w:val="00E31587"/>
    <w:rsid w:val="00E31D43"/>
    <w:rsid w:val="00E32608"/>
    <w:rsid w:val="00E33E19"/>
    <w:rsid w:val="00E34188"/>
    <w:rsid w:val="00E34B6E"/>
    <w:rsid w:val="00E352B9"/>
    <w:rsid w:val="00E35559"/>
    <w:rsid w:val="00E35655"/>
    <w:rsid w:val="00E35C68"/>
    <w:rsid w:val="00E3638B"/>
    <w:rsid w:val="00E37129"/>
    <w:rsid w:val="00E3723A"/>
    <w:rsid w:val="00E37860"/>
    <w:rsid w:val="00E4090D"/>
    <w:rsid w:val="00E4104E"/>
    <w:rsid w:val="00E4220F"/>
    <w:rsid w:val="00E4363E"/>
    <w:rsid w:val="00E43787"/>
    <w:rsid w:val="00E446F1"/>
    <w:rsid w:val="00E447C9"/>
    <w:rsid w:val="00E464C3"/>
    <w:rsid w:val="00E46886"/>
    <w:rsid w:val="00E476FF"/>
    <w:rsid w:val="00E47A12"/>
    <w:rsid w:val="00E47A77"/>
    <w:rsid w:val="00E47AEF"/>
    <w:rsid w:val="00E47B0F"/>
    <w:rsid w:val="00E47CFF"/>
    <w:rsid w:val="00E50191"/>
    <w:rsid w:val="00E5143D"/>
    <w:rsid w:val="00E528A7"/>
    <w:rsid w:val="00E5325C"/>
    <w:rsid w:val="00E53B75"/>
    <w:rsid w:val="00E53FE3"/>
    <w:rsid w:val="00E5445D"/>
    <w:rsid w:val="00E54D45"/>
    <w:rsid w:val="00E54E3B"/>
    <w:rsid w:val="00E5576A"/>
    <w:rsid w:val="00E569A8"/>
    <w:rsid w:val="00E574BA"/>
    <w:rsid w:val="00E57565"/>
    <w:rsid w:val="00E57E36"/>
    <w:rsid w:val="00E62B69"/>
    <w:rsid w:val="00E63838"/>
    <w:rsid w:val="00E6402F"/>
    <w:rsid w:val="00E64093"/>
    <w:rsid w:val="00E64434"/>
    <w:rsid w:val="00E65868"/>
    <w:rsid w:val="00E66E71"/>
    <w:rsid w:val="00E67C51"/>
    <w:rsid w:val="00E67E44"/>
    <w:rsid w:val="00E67EC4"/>
    <w:rsid w:val="00E706AC"/>
    <w:rsid w:val="00E70D2A"/>
    <w:rsid w:val="00E71168"/>
    <w:rsid w:val="00E72EFC"/>
    <w:rsid w:val="00E73078"/>
    <w:rsid w:val="00E73190"/>
    <w:rsid w:val="00E7397A"/>
    <w:rsid w:val="00E741C8"/>
    <w:rsid w:val="00E74524"/>
    <w:rsid w:val="00E74724"/>
    <w:rsid w:val="00E74B6C"/>
    <w:rsid w:val="00E74CBE"/>
    <w:rsid w:val="00E758EC"/>
    <w:rsid w:val="00E76042"/>
    <w:rsid w:val="00E7665E"/>
    <w:rsid w:val="00E76788"/>
    <w:rsid w:val="00E76F65"/>
    <w:rsid w:val="00E77823"/>
    <w:rsid w:val="00E8049F"/>
    <w:rsid w:val="00E80CA2"/>
    <w:rsid w:val="00E80D51"/>
    <w:rsid w:val="00E81765"/>
    <w:rsid w:val="00E81D6F"/>
    <w:rsid w:val="00E81FB9"/>
    <w:rsid w:val="00E8234C"/>
    <w:rsid w:val="00E82CE2"/>
    <w:rsid w:val="00E83126"/>
    <w:rsid w:val="00E83AA9"/>
    <w:rsid w:val="00E83D62"/>
    <w:rsid w:val="00E83F0E"/>
    <w:rsid w:val="00E840F3"/>
    <w:rsid w:val="00E841B0"/>
    <w:rsid w:val="00E84C94"/>
    <w:rsid w:val="00E85928"/>
    <w:rsid w:val="00E87343"/>
    <w:rsid w:val="00E875C8"/>
    <w:rsid w:val="00E87822"/>
    <w:rsid w:val="00E87E96"/>
    <w:rsid w:val="00E90395"/>
    <w:rsid w:val="00E90D17"/>
    <w:rsid w:val="00E90E49"/>
    <w:rsid w:val="00E917F9"/>
    <w:rsid w:val="00E9257D"/>
    <w:rsid w:val="00E9291C"/>
    <w:rsid w:val="00E92BD1"/>
    <w:rsid w:val="00E936AC"/>
    <w:rsid w:val="00E93FFE"/>
    <w:rsid w:val="00E94060"/>
    <w:rsid w:val="00E94F8A"/>
    <w:rsid w:val="00E95E04"/>
    <w:rsid w:val="00E97AD8"/>
    <w:rsid w:val="00EA06A5"/>
    <w:rsid w:val="00EA3E4F"/>
    <w:rsid w:val="00EA44BD"/>
    <w:rsid w:val="00EA44D9"/>
    <w:rsid w:val="00EA7A41"/>
    <w:rsid w:val="00EB03F7"/>
    <w:rsid w:val="00EB077B"/>
    <w:rsid w:val="00EB1A82"/>
    <w:rsid w:val="00EB1B54"/>
    <w:rsid w:val="00EB22F0"/>
    <w:rsid w:val="00EB2480"/>
    <w:rsid w:val="00EB33A8"/>
    <w:rsid w:val="00EB4A05"/>
    <w:rsid w:val="00EB4EA2"/>
    <w:rsid w:val="00EB5D17"/>
    <w:rsid w:val="00EB6792"/>
    <w:rsid w:val="00EB6F37"/>
    <w:rsid w:val="00EB77CA"/>
    <w:rsid w:val="00EB7E1E"/>
    <w:rsid w:val="00EC1AE5"/>
    <w:rsid w:val="00EC1FEC"/>
    <w:rsid w:val="00EC24D5"/>
    <w:rsid w:val="00EC27C6"/>
    <w:rsid w:val="00EC3DD5"/>
    <w:rsid w:val="00EC4207"/>
    <w:rsid w:val="00EC4BD9"/>
    <w:rsid w:val="00EC5363"/>
    <w:rsid w:val="00EC5653"/>
    <w:rsid w:val="00EC6FCE"/>
    <w:rsid w:val="00EC71CE"/>
    <w:rsid w:val="00EC7E1A"/>
    <w:rsid w:val="00ED0CE3"/>
    <w:rsid w:val="00ED0DA6"/>
    <w:rsid w:val="00ED1006"/>
    <w:rsid w:val="00ED1E9B"/>
    <w:rsid w:val="00ED2710"/>
    <w:rsid w:val="00ED27BF"/>
    <w:rsid w:val="00ED533A"/>
    <w:rsid w:val="00ED5595"/>
    <w:rsid w:val="00ED5DFE"/>
    <w:rsid w:val="00ED634C"/>
    <w:rsid w:val="00ED7160"/>
    <w:rsid w:val="00ED735F"/>
    <w:rsid w:val="00ED78B2"/>
    <w:rsid w:val="00EE0649"/>
    <w:rsid w:val="00EE2B37"/>
    <w:rsid w:val="00EE3AFA"/>
    <w:rsid w:val="00EE48A6"/>
    <w:rsid w:val="00EE4EEA"/>
    <w:rsid w:val="00EE5048"/>
    <w:rsid w:val="00EE5465"/>
    <w:rsid w:val="00EE5604"/>
    <w:rsid w:val="00EE5730"/>
    <w:rsid w:val="00EE69A5"/>
    <w:rsid w:val="00EE6B2A"/>
    <w:rsid w:val="00EE7377"/>
    <w:rsid w:val="00EE7420"/>
    <w:rsid w:val="00EE7B98"/>
    <w:rsid w:val="00EF16FA"/>
    <w:rsid w:val="00EF18FE"/>
    <w:rsid w:val="00EF22B6"/>
    <w:rsid w:val="00EF2B8B"/>
    <w:rsid w:val="00EF344A"/>
    <w:rsid w:val="00EF467B"/>
    <w:rsid w:val="00EF4EF8"/>
    <w:rsid w:val="00EF5787"/>
    <w:rsid w:val="00EF60D0"/>
    <w:rsid w:val="00EF6ED5"/>
    <w:rsid w:val="00EF7B55"/>
    <w:rsid w:val="00F0013D"/>
    <w:rsid w:val="00F004BD"/>
    <w:rsid w:val="00F02901"/>
    <w:rsid w:val="00F02A93"/>
    <w:rsid w:val="00F03878"/>
    <w:rsid w:val="00F03B56"/>
    <w:rsid w:val="00F050C8"/>
    <w:rsid w:val="00F0528D"/>
    <w:rsid w:val="00F0589E"/>
    <w:rsid w:val="00F05914"/>
    <w:rsid w:val="00F06C67"/>
    <w:rsid w:val="00F06DFD"/>
    <w:rsid w:val="00F071D1"/>
    <w:rsid w:val="00F07533"/>
    <w:rsid w:val="00F1030B"/>
    <w:rsid w:val="00F10629"/>
    <w:rsid w:val="00F12C55"/>
    <w:rsid w:val="00F142FD"/>
    <w:rsid w:val="00F15EC6"/>
    <w:rsid w:val="00F15FA5"/>
    <w:rsid w:val="00F160B4"/>
    <w:rsid w:val="00F16657"/>
    <w:rsid w:val="00F17ACB"/>
    <w:rsid w:val="00F17CC0"/>
    <w:rsid w:val="00F209B7"/>
    <w:rsid w:val="00F2198A"/>
    <w:rsid w:val="00F222AD"/>
    <w:rsid w:val="00F22AEB"/>
    <w:rsid w:val="00F22D8A"/>
    <w:rsid w:val="00F2376F"/>
    <w:rsid w:val="00F243D8"/>
    <w:rsid w:val="00F248E1"/>
    <w:rsid w:val="00F24F60"/>
    <w:rsid w:val="00F267DA"/>
    <w:rsid w:val="00F27682"/>
    <w:rsid w:val="00F27C33"/>
    <w:rsid w:val="00F30828"/>
    <w:rsid w:val="00F30C07"/>
    <w:rsid w:val="00F313D6"/>
    <w:rsid w:val="00F3155C"/>
    <w:rsid w:val="00F3231B"/>
    <w:rsid w:val="00F3267B"/>
    <w:rsid w:val="00F32973"/>
    <w:rsid w:val="00F331AF"/>
    <w:rsid w:val="00F347D5"/>
    <w:rsid w:val="00F35925"/>
    <w:rsid w:val="00F35B06"/>
    <w:rsid w:val="00F40D6D"/>
    <w:rsid w:val="00F40F0C"/>
    <w:rsid w:val="00F420A3"/>
    <w:rsid w:val="00F4258D"/>
    <w:rsid w:val="00F43760"/>
    <w:rsid w:val="00F43798"/>
    <w:rsid w:val="00F4384C"/>
    <w:rsid w:val="00F43DF2"/>
    <w:rsid w:val="00F44391"/>
    <w:rsid w:val="00F471D8"/>
    <w:rsid w:val="00F4766C"/>
    <w:rsid w:val="00F5060E"/>
    <w:rsid w:val="00F507D1"/>
    <w:rsid w:val="00F50D32"/>
    <w:rsid w:val="00F519CE"/>
    <w:rsid w:val="00F51A12"/>
    <w:rsid w:val="00F51ADA"/>
    <w:rsid w:val="00F52278"/>
    <w:rsid w:val="00F557E6"/>
    <w:rsid w:val="00F57F6A"/>
    <w:rsid w:val="00F60203"/>
    <w:rsid w:val="00F605B7"/>
    <w:rsid w:val="00F607C5"/>
    <w:rsid w:val="00F60DEA"/>
    <w:rsid w:val="00F61633"/>
    <w:rsid w:val="00F62373"/>
    <w:rsid w:val="00F6302A"/>
    <w:rsid w:val="00F63950"/>
    <w:rsid w:val="00F64C2B"/>
    <w:rsid w:val="00F651BE"/>
    <w:rsid w:val="00F65B75"/>
    <w:rsid w:val="00F67F53"/>
    <w:rsid w:val="00F703BE"/>
    <w:rsid w:val="00F713BB"/>
    <w:rsid w:val="00F71F69"/>
    <w:rsid w:val="00F72808"/>
    <w:rsid w:val="00F72B72"/>
    <w:rsid w:val="00F73514"/>
    <w:rsid w:val="00F7353C"/>
    <w:rsid w:val="00F74582"/>
    <w:rsid w:val="00F74BB9"/>
    <w:rsid w:val="00F75582"/>
    <w:rsid w:val="00F75C77"/>
    <w:rsid w:val="00F75F80"/>
    <w:rsid w:val="00F76009"/>
    <w:rsid w:val="00F765CE"/>
    <w:rsid w:val="00F769A9"/>
    <w:rsid w:val="00F76EFA"/>
    <w:rsid w:val="00F77BEF"/>
    <w:rsid w:val="00F77F22"/>
    <w:rsid w:val="00F804BE"/>
    <w:rsid w:val="00F80EBB"/>
    <w:rsid w:val="00F8168F"/>
    <w:rsid w:val="00F817CE"/>
    <w:rsid w:val="00F81F78"/>
    <w:rsid w:val="00F82052"/>
    <w:rsid w:val="00F83BF8"/>
    <w:rsid w:val="00F8449C"/>
    <w:rsid w:val="00F844A7"/>
    <w:rsid w:val="00F8456C"/>
    <w:rsid w:val="00F859D8"/>
    <w:rsid w:val="00F85A21"/>
    <w:rsid w:val="00F868F5"/>
    <w:rsid w:val="00F875C5"/>
    <w:rsid w:val="00F87A7E"/>
    <w:rsid w:val="00F90339"/>
    <w:rsid w:val="00F9056A"/>
    <w:rsid w:val="00F90F8D"/>
    <w:rsid w:val="00F91889"/>
    <w:rsid w:val="00F9211F"/>
    <w:rsid w:val="00F9268B"/>
    <w:rsid w:val="00F92777"/>
    <w:rsid w:val="00F92782"/>
    <w:rsid w:val="00F93AA9"/>
    <w:rsid w:val="00F93CA9"/>
    <w:rsid w:val="00F945A4"/>
    <w:rsid w:val="00F956E7"/>
    <w:rsid w:val="00F95E35"/>
    <w:rsid w:val="00F96599"/>
    <w:rsid w:val="00F9662B"/>
    <w:rsid w:val="00F96758"/>
    <w:rsid w:val="00F96985"/>
    <w:rsid w:val="00F9765A"/>
    <w:rsid w:val="00F97838"/>
    <w:rsid w:val="00FA2BB3"/>
    <w:rsid w:val="00FA2EFB"/>
    <w:rsid w:val="00FA3F67"/>
    <w:rsid w:val="00FA41AA"/>
    <w:rsid w:val="00FA4FBE"/>
    <w:rsid w:val="00FA6781"/>
    <w:rsid w:val="00FA72F1"/>
    <w:rsid w:val="00FA74E3"/>
    <w:rsid w:val="00FB014B"/>
    <w:rsid w:val="00FB0D32"/>
    <w:rsid w:val="00FB1710"/>
    <w:rsid w:val="00FB1735"/>
    <w:rsid w:val="00FB2270"/>
    <w:rsid w:val="00FB2B20"/>
    <w:rsid w:val="00FB315F"/>
    <w:rsid w:val="00FB343C"/>
    <w:rsid w:val="00FB4C80"/>
    <w:rsid w:val="00FB5F16"/>
    <w:rsid w:val="00FB6040"/>
    <w:rsid w:val="00FB6A6A"/>
    <w:rsid w:val="00FB6F6C"/>
    <w:rsid w:val="00FB789C"/>
    <w:rsid w:val="00FC0262"/>
    <w:rsid w:val="00FC2355"/>
    <w:rsid w:val="00FC2814"/>
    <w:rsid w:val="00FC3AC5"/>
    <w:rsid w:val="00FC3FB6"/>
    <w:rsid w:val="00FC4067"/>
    <w:rsid w:val="00FC4A63"/>
    <w:rsid w:val="00FC4D2F"/>
    <w:rsid w:val="00FC5B4D"/>
    <w:rsid w:val="00FC5BB1"/>
    <w:rsid w:val="00FC647E"/>
    <w:rsid w:val="00FC68D8"/>
    <w:rsid w:val="00FC6ADC"/>
    <w:rsid w:val="00FC6D7C"/>
    <w:rsid w:val="00FC72DD"/>
    <w:rsid w:val="00FC7429"/>
    <w:rsid w:val="00FD04A7"/>
    <w:rsid w:val="00FD07F6"/>
    <w:rsid w:val="00FD19A8"/>
    <w:rsid w:val="00FD1EC8"/>
    <w:rsid w:val="00FD2173"/>
    <w:rsid w:val="00FD2727"/>
    <w:rsid w:val="00FD3848"/>
    <w:rsid w:val="00FD47ED"/>
    <w:rsid w:val="00FD4E6A"/>
    <w:rsid w:val="00FD4FBB"/>
    <w:rsid w:val="00FD546B"/>
    <w:rsid w:val="00FD5DD5"/>
    <w:rsid w:val="00FD63ED"/>
    <w:rsid w:val="00FD64C2"/>
    <w:rsid w:val="00FD6D21"/>
    <w:rsid w:val="00FD74DB"/>
    <w:rsid w:val="00FD75DC"/>
    <w:rsid w:val="00FD7660"/>
    <w:rsid w:val="00FE038D"/>
    <w:rsid w:val="00FE0655"/>
    <w:rsid w:val="00FE0C13"/>
    <w:rsid w:val="00FE1198"/>
    <w:rsid w:val="00FE19E1"/>
    <w:rsid w:val="00FE20B2"/>
    <w:rsid w:val="00FE2365"/>
    <w:rsid w:val="00FE2BE5"/>
    <w:rsid w:val="00FE2BFF"/>
    <w:rsid w:val="00FE2E50"/>
    <w:rsid w:val="00FE37D7"/>
    <w:rsid w:val="00FE4695"/>
    <w:rsid w:val="00FE4892"/>
    <w:rsid w:val="00FE4C7B"/>
    <w:rsid w:val="00FE648A"/>
    <w:rsid w:val="00FE6F2E"/>
    <w:rsid w:val="00FE7336"/>
    <w:rsid w:val="00FE787C"/>
    <w:rsid w:val="00FE7F25"/>
    <w:rsid w:val="00FF0FF8"/>
    <w:rsid w:val="00FF1611"/>
    <w:rsid w:val="00FF17CE"/>
    <w:rsid w:val="00FF1A33"/>
    <w:rsid w:val="00FF1D81"/>
    <w:rsid w:val="00FF2232"/>
    <w:rsid w:val="00FF2305"/>
    <w:rsid w:val="00FF2995"/>
    <w:rsid w:val="00FF3936"/>
    <w:rsid w:val="00FF40C5"/>
    <w:rsid w:val="00FF45A5"/>
    <w:rsid w:val="00FF54B7"/>
    <w:rsid w:val="00FF5C91"/>
    <w:rsid w:val="00FF67F2"/>
    <w:rsid w:val="00FF7447"/>
    <w:rsid w:val="5C02D76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Lista1,?? ??,?????,????,목록 단락,リスト段落,列出段落1,中等深浅网格 1 - 着色 21,¥¡¡¡¡ì¬º¥¹¥È¶ÎÂä,ÁÐ³ö¶ÎÂä,列表段落1,—ño’i—Ž,¥ê¥¹¥È¶ÎÂä,1st level - Bullet List Paragraph,Lettre d'introduction,Paragrafo elenco,Normal bullet 2,Bullet list,목록단락,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Lista1 Char,?? ?? Char,????? Char,???? Char,목록 단락 Char,リスト段落 Char,列出段落1 Char,中等深浅网格 1 - 着色 21 Char,¥¡¡¡¡ì¬º¥¹¥È¶ÎÂä Char,ÁÐ³ö¶ÎÂä Char,列表段落1 Char,—ño’i—Ž Char,¥ê¥¹¥È¶ÎÂä Char,Lettre d'introduction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IvDInstructiontext">
    <w:name w:val="IvD Instructiontext"/>
    <w:basedOn w:val="BodyText"/>
    <w:link w:val="IvDInstructiontextChar"/>
    <w:uiPriority w:val="99"/>
    <w:qFormat/>
    <w:rsid w:val="003430C1"/>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3430C1"/>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3430C1"/>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3430C1"/>
    <w:rPr>
      <w:rFonts w:ascii="Arial" w:hAnsi="Arial"/>
      <w:spacing w:val="2"/>
      <w:lang w:val="en-US" w:eastAsia="en-US"/>
    </w:rPr>
  </w:style>
  <w:style w:type="paragraph" w:styleId="Revision">
    <w:name w:val="Revision"/>
    <w:hidden/>
    <w:uiPriority w:val="99"/>
    <w:semiHidden/>
    <w:rsid w:val="00752421"/>
    <w:rPr>
      <w:rFonts w:ascii="Arial" w:eastAsiaTheme="minorHAnsi" w:hAnsi="Arial" w:cstheme="minorBidi"/>
      <w:szCs w:val="22"/>
      <w:lang w:val="en-US" w:eastAsia="en-US"/>
    </w:rPr>
  </w:style>
  <w:style w:type="character" w:styleId="UnresolvedMention">
    <w:name w:val="Unresolved Mention"/>
    <w:basedOn w:val="DefaultParagraphFont"/>
    <w:uiPriority w:val="99"/>
    <w:unhideWhenUsed/>
    <w:rsid w:val="003425EB"/>
    <w:rPr>
      <w:color w:val="605E5C"/>
      <w:shd w:val="clear" w:color="auto" w:fill="E1DFDD"/>
    </w:rPr>
  </w:style>
  <w:style w:type="character" w:styleId="Mention">
    <w:name w:val="Mention"/>
    <w:basedOn w:val="DefaultParagraphFont"/>
    <w:uiPriority w:val="99"/>
    <w:unhideWhenUsed/>
    <w:rsid w:val="003425EB"/>
    <w:rPr>
      <w:color w:val="2B579A"/>
      <w:shd w:val="clear" w:color="auto" w:fill="E1DFDD"/>
    </w:rPr>
  </w:style>
  <w:style w:type="paragraph" w:styleId="NoSpacing">
    <w:name w:val="No Spacing"/>
    <w:uiPriority w:val="1"/>
    <w:qFormat/>
    <w:rsid w:val="006E0A52"/>
    <w:rPr>
      <w:rFonts w:ascii="Arial" w:eastAsiaTheme="minorHAnsi" w:hAnsi="Arial" w:cstheme="minorBidi"/>
      <w:szCs w:val="22"/>
      <w:lang w:val="en-US" w:eastAsia="en-US"/>
    </w:rPr>
  </w:style>
  <w:style w:type="character" w:customStyle="1" w:styleId="TACChar">
    <w:name w:val="TAC Char"/>
    <w:link w:val="TAC"/>
    <w:qFormat/>
    <w:rsid w:val="0043094C"/>
    <w:rPr>
      <w:rFonts w:ascii="Arial" w:eastAsiaTheme="minorHAnsi" w:hAnsi="Arial" w:cstheme="minorBidi"/>
      <w:sz w:val="18"/>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4080912">
      <w:bodyDiv w:val="1"/>
      <w:marLeft w:val="0"/>
      <w:marRight w:val="0"/>
      <w:marTop w:val="0"/>
      <w:marBottom w:val="0"/>
      <w:divBdr>
        <w:top w:val="none" w:sz="0" w:space="0" w:color="auto"/>
        <w:left w:val="none" w:sz="0" w:space="0" w:color="auto"/>
        <w:bottom w:val="none" w:sz="0" w:space="0" w:color="auto"/>
        <w:right w:val="none" w:sz="0" w:space="0" w:color="auto"/>
      </w:divBdr>
      <w:divsChild>
        <w:div w:id="1205749916">
          <w:marLeft w:val="850"/>
          <w:marRight w:val="0"/>
          <w:marTop w:val="160"/>
          <w:marBottom w:val="0"/>
          <w:divBdr>
            <w:top w:val="none" w:sz="0" w:space="0" w:color="auto"/>
            <w:left w:val="none" w:sz="0" w:space="0" w:color="auto"/>
            <w:bottom w:val="none" w:sz="0" w:space="0" w:color="auto"/>
            <w:right w:val="none" w:sz="0" w:space="0" w:color="auto"/>
          </w:divBdr>
        </w:div>
      </w:divsChild>
    </w:div>
    <w:div w:id="1715539332">
      <w:bodyDiv w:val="1"/>
      <w:marLeft w:val="0"/>
      <w:marRight w:val="0"/>
      <w:marTop w:val="0"/>
      <w:marBottom w:val="0"/>
      <w:divBdr>
        <w:top w:val="none" w:sz="0" w:space="0" w:color="auto"/>
        <w:left w:val="none" w:sz="0" w:space="0" w:color="auto"/>
        <w:bottom w:val="none" w:sz="0" w:space="0" w:color="auto"/>
        <w:right w:val="none" w:sz="0" w:space="0" w:color="auto"/>
      </w:divBdr>
      <w:divsChild>
        <w:div w:id="2109082164">
          <w:marLeft w:val="850"/>
          <w:marRight w:val="0"/>
          <w:marTop w:val="160"/>
          <w:marBottom w:val="0"/>
          <w:divBdr>
            <w:top w:val="none" w:sz="0" w:space="0" w:color="auto"/>
            <w:left w:val="none" w:sz="0" w:space="0" w:color="auto"/>
            <w:bottom w:val="none" w:sz="0" w:space="0" w:color="auto"/>
            <w:right w:val="none" w:sz="0" w:space="0" w:color="auto"/>
          </w:divBdr>
        </w:div>
      </w:divsChild>
    </w:div>
    <w:div w:id="1942562950">
      <w:bodyDiv w:val="1"/>
      <w:marLeft w:val="0"/>
      <w:marRight w:val="0"/>
      <w:marTop w:val="0"/>
      <w:marBottom w:val="0"/>
      <w:divBdr>
        <w:top w:val="none" w:sz="0" w:space="0" w:color="auto"/>
        <w:left w:val="none" w:sz="0" w:space="0" w:color="auto"/>
        <w:bottom w:val="none" w:sz="0" w:space="0" w:color="auto"/>
        <w:right w:val="none" w:sz="0" w:space="0" w:color="auto"/>
      </w:divBdr>
      <w:divsChild>
        <w:div w:id="506947194">
          <w:marLeft w:val="418"/>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21" Type="http://schemas.openxmlformats.org/officeDocument/2006/relationships/image" Target="media/image11.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ww.etsi.org/deliver/etsi_en/303600_303699/303687/01.00.00_20/en_303687v010000a.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INTERNAL xmlns="2b894682-84b8-4ad3-8e22-2db2ef8bd5fa" xsi:nil="true"/>
    <lcf76f155ced4ddcb4097134ff3c332f xmlns="2b894682-84b8-4ad3-8e22-2db2ef8bd5fa">
      <Terms xmlns="http://schemas.microsoft.com/office/infopath/2007/PartnerControls"/>
    </lcf76f155ced4ddcb4097134ff3c332f>
    <Release xmlns="2b894682-84b8-4ad3-8e22-2db2ef8bd5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AB1D31256771D4AB3EA842ABC2E3F11" ma:contentTypeVersion="20" ma:contentTypeDescription="Create a new document." ma:contentTypeScope="" ma:versionID="3922462cde2e86ceef90334c55a675f7">
  <xsd:schema xmlns:xsd="http://www.w3.org/2001/XMLSchema" xmlns:xs="http://www.w3.org/2001/XMLSchema" xmlns:p="http://schemas.microsoft.com/office/2006/metadata/properties" xmlns:ns2="0ea90206-ed46-4e94-aaa3-4eb53f2abbf0" xmlns:ns3="2b894682-84b8-4ad3-8e22-2db2ef8bd5fa" xmlns:ns4="d8762117-8292-4133-b1c7-eab5c6487cfd" targetNamespace="http://schemas.microsoft.com/office/2006/metadata/properties" ma:root="true" ma:fieldsID="86185179f0b4e48908e8f1ba3de85bf8" ns2:_="" ns3:_="" ns4:_="">
    <xsd:import namespace="0ea90206-ed46-4e94-aaa3-4eb53f2abbf0"/>
    <xsd:import namespace="2b894682-84b8-4ad3-8e22-2db2ef8bd5fa"/>
    <xsd:import namespace="d8762117-8292-4133-b1c7-eab5c6487cf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lcf76f155ced4ddcb4097134ff3c332f" minOccurs="0"/>
                <xsd:element ref="ns4:TaxCatchAll" minOccurs="0"/>
                <xsd:element ref="ns3:INTERNAL" minOccurs="0"/>
                <xsd:element ref="ns3:MediaServiceLocation" minOccurs="0"/>
                <xsd:element ref="ns3:Relea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a90206-ed46-4e94-aaa3-4eb53f2abbf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b894682-84b8-4ad3-8e22-2db2ef8bd5fa"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INTERNAL" ma:index="23" nillable="true" ma:displayName="INTERNAL" ma:format="Dropdown" ma:internalName="INTERNAL">
      <xsd:simpleType>
        <xsd:restriction base="dms:Text">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Release" ma:index="25" nillable="true" ma:displayName="Release" ma:format="Dropdown" ma:internalName="Relea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1ac81e43-475a-49f9-a594-0e380d9fc2e8}" ma:internalName="TaxCatchAll" ma:showField="CatchAllData" ma:web="0ea90206-ed46-4e94-aaa3-4eb53f2abb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5388C-9FC0-43E1-BB67-AB93000937D1}">
  <ds:schemaRefs>
    <ds:schemaRef ds:uri="http://schemas.openxmlformats.org/officeDocument/2006/bibliography"/>
  </ds:schemaRefs>
</ds:datastoreItem>
</file>

<file path=customXml/itemProps2.xml><?xml version="1.0" encoding="utf-8"?>
<ds:datastoreItem xmlns:ds="http://schemas.openxmlformats.org/officeDocument/2006/customXml" ds:itemID="{D2D2D8B9-782D-45C1-8505-D5F41A60A3A1}">
  <ds:schemaRefs>
    <ds:schemaRef ds:uri="http://schemas.microsoft.com/office/2006/metadata/properties"/>
    <ds:schemaRef ds:uri="http://schemas.microsoft.com/office/infopath/2007/PartnerControls"/>
    <ds:schemaRef ds:uri="d8762117-8292-4133-b1c7-eab5c6487cfd"/>
    <ds:schemaRef ds:uri="2b894682-84b8-4ad3-8e22-2db2ef8bd5fa"/>
  </ds:schemaRefs>
</ds:datastoreItem>
</file>

<file path=customXml/itemProps3.xml><?xml version="1.0" encoding="utf-8"?>
<ds:datastoreItem xmlns:ds="http://schemas.openxmlformats.org/officeDocument/2006/customXml" ds:itemID="{8A4CEA8D-165E-4EF1-853B-768B1D491996}">
  <ds:schemaRefs>
    <ds:schemaRef ds:uri="http://schemas.microsoft.com/sharepoint/v3/contenttype/forms"/>
  </ds:schemaRefs>
</ds:datastoreItem>
</file>

<file path=customXml/itemProps4.xml><?xml version="1.0" encoding="utf-8"?>
<ds:datastoreItem xmlns:ds="http://schemas.openxmlformats.org/officeDocument/2006/customXml" ds:itemID="{05D88D0B-E529-48FF-903C-FF31FD59BC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a90206-ed46-4e94-aaa3-4eb53f2abbf0"/>
    <ds:schemaRef ds:uri="2b894682-84b8-4ad3-8e22-2db2ef8bd5fa"/>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12069</Words>
  <Characters>60228</Characters>
  <Application>Microsoft Office Word</Application>
  <DocSecurity>0</DocSecurity>
  <Lines>1204</Lines>
  <Paragraphs>769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71528</CharactersWithSpaces>
  <SharedDoc>false</SharedDoc>
  <HLinks>
    <vt:vector size="306" baseType="variant">
      <vt:variant>
        <vt:i4>6815870</vt:i4>
      </vt:variant>
      <vt:variant>
        <vt:i4>322</vt:i4>
      </vt:variant>
      <vt:variant>
        <vt:i4>0</vt:i4>
      </vt:variant>
      <vt:variant>
        <vt:i4>5</vt:i4>
      </vt:variant>
      <vt:variant>
        <vt:lpwstr>https://www.etsi.org/deliver/etsi_en/303600_303699/303687/01.00.00_20/en_303687v010000a.pdf</vt:lpwstr>
      </vt:variant>
      <vt:variant>
        <vt:lpwstr/>
      </vt:variant>
      <vt:variant>
        <vt:i4>2031675</vt:i4>
      </vt:variant>
      <vt:variant>
        <vt:i4>318</vt:i4>
      </vt:variant>
      <vt:variant>
        <vt:i4>0</vt:i4>
      </vt:variant>
      <vt:variant>
        <vt:i4>5</vt:i4>
      </vt:variant>
      <vt:variant>
        <vt:lpwstr/>
      </vt:variant>
      <vt:variant>
        <vt:lpwstr>_Toc118727093</vt:lpwstr>
      </vt:variant>
      <vt:variant>
        <vt:i4>2031675</vt:i4>
      </vt:variant>
      <vt:variant>
        <vt:i4>315</vt:i4>
      </vt:variant>
      <vt:variant>
        <vt:i4>0</vt:i4>
      </vt:variant>
      <vt:variant>
        <vt:i4>5</vt:i4>
      </vt:variant>
      <vt:variant>
        <vt:lpwstr/>
      </vt:variant>
      <vt:variant>
        <vt:lpwstr>_Toc118727092</vt:lpwstr>
      </vt:variant>
      <vt:variant>
        <vt:i4>2031675</vt:i4>
      </vt:variant>
      <vt:variant>
        <vt:i4>312</vt:i4>
      </vt:variant>
      <vt:variant>
        <vt:i4>0</vt:i4>
      </vt:variant>
      <vt:variant>
        <vt:i4>5</vt:i4>
      </vt:variant>
      <vt:variant>
        <vt:lpwstr/>
      </vt:variant>
      <vt:variant>
        <vt:lpwstr>_Toc118727091</vt:lpwstr>
      </vt:variant>
      <vt:variant>
        <vt:i4>2031675</vt:i4>
      </vt:variant>
      <vt:variant>
        <vt:i4>309</vt:i4>
      </vt:variant>
      <vt:variant>
        <vt:i4>0</vt:i4>
      </vt:variant>
      <vt:variant>
        <vt:i4>5</vt:i4>
      </vt:variant>
      <vt:variant>
        <vt:lpwstr/>
      </vt:variant>
      <vt:variant>
        <vt:lpwstr>_Toc118727090</vt:lpwstr>
      </vt:variant>
      <vt:variant>
        <vt:i4>1966139</vt:i4>
      </vt:variant>
      <vt:variant>
        <vt:i4>306</vt:i4>
      </vt:variant>
      <vt:variant>
        <vt:i4>0</vt:i4>
      </vt:variant>
      <vt:variant>
        <vt:i4>5</vt:i4>
      </vt:variant>
      <vt:variant>
        <vt:lpwstr/>
      </vt:variant>
      <vt:variant>
        <vt:lpwstr>_Toc118727089</vt:lpwstr>
      </vt:variant>
      <vt:variant>
        <vt:i4>1966139</vt:i4>
      </vt:variant>
      <vt:variant>
        <vt:i4>303</vt:i4>
      </vt:variant>
      <vt:variant>
        <vt:i4>0</vt:i4>
      </vt:variant>
      <vt:variant>
        <vt:i4>5</vt:i4>
      </vt:variant>
      <vt:variant>
        <vt:lpwstr/>
      </vt:variant>
      <vt:variant>
        <vt:lpwstr>_Toc118727088</vt:lpwstr>
      </vt:variant>
      <vt:variant>
        <vt:i4>1966139</vt:i4>
      </vt:variant>
      <vt:variant>
        <vt:i4>300</vt:i4>
      </vt:variant>
      <vt:variant>
        <vt:i4>0</vt:i4>
      </vt:variant>
      <vt:variant>
        <vt:i4>5</vt:i4>
      </vt:variant>
      <vt:variant>
        <vt:lpwstr/>
      </vt:variant>
      <vt:variant>
        <vt:lpwstr>_Toc118727087</vt:lpwstr>
      </vt:variant>
      <vt:variant>
        <vt:i4>1966139</vt:i4>
      </vt:variant>
      <vt:variant>
        <vt:i4>297</vt:i4>
      </vt:variant>
      <vt:variant>
        <vt:i4>0</vt:i4>
      </vt:variant>
      <vt:variant>
        <vt:i4>5</vt:i4>
      </vt:variant>
      <vt:variant>
        <vt:lpwstr/>
      </vt:variant>
      <vt:variant>
        <vt:lpwstr>_Toc118727086</vt:lpwstr>
      </vt:variant>
      <vt:variant>
        <vt:i4>1966139</vt:i4>
      </vt:variant>
      <vt:variant>
        <vt:i4>294</vt:i4>
      </vt:variant>
      <vt:variant>
        <vt:i4>0</vt:i4>
      </vt:variant>
      <vt:variant>
        <vt:i4>5</vt:i4>
      </vt:variant>
      <vt:variant>
        <vt:lpwstr/>
      </vt:variant>
      <vt:variant>
        <vt:lpwstr>_Toc118727085</vt:lpwstr>
      </vt:variant>
      <vt:variant>
        <vt:i4>1966139</vt:i4>
      </vt:variant>
      <vt:variant>
        <vt:i4>291</vt:i4>
      </vt:variant>
      <vt:variant>
        <vt:i4>0</vt:i4>
      </vt:variant>
      <vt:variant>
        <vt:i4>5</vt:i4>
      </vt:variant>
      <vt:variant>
        <vt:lpwstr/>
      </vt:variant>
      <vt:variant>
        <vt:lpwstr>_Toc118727084</vt:lpwstr>
      </vt:variant>
      <vt:variant>
        <vt:i4>1966139</vt:i4>
      </vt:variant>
      <vt:variant>
        <vt:i4>288</vt:i4>
      </vt:variant>
      <vt:variant>
        <vt:i4>0</vt:i4>
      </vt:variant>
      <vt:variant>
        <vt:i4>5</vt:i4>
      </vt:variant>
      <vt:variant>
        <vt:lpwstr/>
      </vt:variant>
      <vt:variant>
        <vt:lpwstr>_Toc118727083</vt:lpwstr>
      </vt:variant>
      <vt:variant>
        <vt:i4>1966139</vt:i4>
      </vt:variant>
      <vt:variant>
        <vt:i4>285</vt:i4>
      </vt:variant>
      <vt:variant>
        <vt:i4>0</vt:i4>
      </vt:variant>
      <vt:variant>
        <vt:i4>5</vt:i4>
      </vt:variant>
      <vt:variant>
        <vt:lpwstr/>
      </vt:variant>
      <vt:variant>
        <vt:lpwstr>_Toc118727082</vt:lpwstr>
      </vt:variant>
      <vt:variant>
        <vt:i4>1966139</vt:i4>
      </vt:variant>
      <vt:variant>
        <vt:i4>282</vt:i4>
      </vt:variant>
      <vt:variant>
        <vt:i4>0</vt:i4>
      </vt:variant>
      <vt:variant>
        <vt:i4>5</vt:i4>
      </vt:variant>
      <vt:variant>
        <vt:lpwstr/>
      </vt:variant>
      <vt:variant>
        <vt:lpwstr>_Toc118727081</vt:lpwstr>
      </vt:variant>
      <vt:variant>
        <vt:i4>1966139</vt:i4>
      </vt:variant>
      <vt:variant>
        <vt:i4>279</vt:i4>
      </vt:variant>
      <vt:variant>
        <vt:i4>0</vt:i4>
      </vt:variant>
      <vt:variant>
        <vt:i4>5</vt:i4>
      </vt:variant>
      <vt:variant>
        <vt:lpwstr/>
      </vt:variant>
      <vt:variant>
        <vt:lpwstr>_Toc118727080</vt:lpwstr>
      </vt:variant>
      <vt:variant>
        <vt:i4>1114171</vt:i4>
      </vt:variant>
      <vt:variant>
        <vt:i4>276</vt:i4>
      </vt:variant>
      <vt:variant>
        <vt:i4>0</vt:i4>
      </vt:variant>
      <vt:variant>
        <vt:i4>5</vt:i4>
      </vt:variant>
      <vt:variant>
        <vt:lpwstr/>
      </vt:variant>
      <vt:variant>
        <vt:lpwstr>_Toc118727079</vt:lpwstr>
      </vt:variant>
      <vt:variant>
        <vt:i4>1114171</vt:i4>
      </vt:variant>
      <vt:variant>
        <vt:i4>273</vt:i4>
      </vt:variant>
      <vt:variant>
        <vt:i4>0</vt:i4>
      </vt:variant>
      <vt:variant>
        <vt:i4>5</vt:i4>
      </vt:variant>
      <vt:variant>
        <vt:lpwstr/>
      </vt:variant>
      <vt:variant>
        <vt:lpwstr>_Toc118727078</vt:lpwstr>
      </vt:variant>
      <vt:variant>
        <vt:i4>1114171</vt:i4>
      </vt:variant>
      <vt:variant>
        <vt:i4>270</vt:i4>
      </vt:variant>
      <vt:variant>
        <vt:i4>0</vt:i4>
      </vt:variant>
      <vt:variant>
        <vt:i4>5</vt:i4>
      </vt:variant>
      <vt:variant>
        <vt:lpwstr/>
      </vt:variant>
      <vt:variant>
        <vt:lpwstr>_Toc118727077</vt:lpwstr>
      </vt:variant>
      <vt:variant>
        <vt:i4>1114171</vt:i4>
      </vt:variant>
      <vt:variant>
        <vt:i4>267</vt:i4>
      </vt:variant>
      <vt:variant>
        <vt:i4>0</vt:i4>
      </vt:variant>
      <vt:variant>
        <vt:i4>5</vt:i4>
      </vt:variant>
      <vt:variant>
        <vt:lpwstr/>
      </vt:variant>
      <vt:variant>
        <vt:lpwstr>_Toc118727076</vt:lpwstr>
      </vt:variant>
      <vt:variant>
        <vt:i4>1114171</vt:i4>
      </vt:variant>
      <vt:variant>
        <vt:i4>264</vt:i4>
      </vt:variant>
      <vt:variant>
        <vt:i4>0</vt:i4>
      </vt:variant>
      <vt:variant>
        <vt:i4>5</vt:i4>
      </vt:variant>
      <vt:variant>
        <vt:lpwstr/>
      </vt:variant>
      <vt:variant>
        <vt:lpwstr>_Toc118727075</vt:lpwstr>
      </vt:variant>
      <vt:variant>
        <vt:i4>1114171</vt:i4>
      </vt:variant>
      <vt:variant>
        <vt:i4>261</vt:i4>
      </vt:variant>
      <vt:variant>
        <vt:i4>0</vt:i4>
      </vt:variant>
      <vt:variant>
        <vt:i4>5</vt:i4>
      </vt:variant>
      <vt:variant>
        <vt:lpwstr/>
      </vt:variant>
      <vt:variant>
        <vt:lpwstr>_Toc118727074</vt:lpwstr>
      </vt:variant>
      <vt:variant>
        <vt:i4>1114171</vt:i4>
      </vt:variant>
      <vt:variant>
        <vt:i4>258</vt:i4>
      </vt:variant>
      <vt:variant>
        <vt:i4>0</vt:i4>
      </vt:variant>
      <vt:variant>
        <vt:i4>5</vt:i4>
      </vt:variant>
      <vt:variant>
        <vt:lpwstr/>
      </vt:variant>
      <vt:variant>
        <vt:lpwstr>_Toc118727073</vt:lpwstr>
      </vt:variant>
      <vt:variant>
        <vt:i4>1114171</vt:i4>
      </vt:variant>
      <vt:variant>
        <vt:i4>255</vt:i4>
      </vt:variant>
      <vt:variant>
        <vt:i4>0</vt:i4>
      </vt:variant>
      <vt:variant>
        <vt:i4>5</vt:i4>
      </vt:variant>
      <vt:variant>
        <vt:lpwstr/>
      </vt:variant>
      <vt:variant>
        <vt:lpwstr>_Toc118727072</vt:lpwstr>
      </vt:variant>
      <vt:variant>
        <vt:i4>1114171</vt:i4>
      </vt:variant>
      <vt:variant>
        <vt:i4>252</vt:i4>
      </vt:variant>
      <vt:variant>
        <vt:i4>0</vt:i4>
      </vt:variant>
      <vt:variant>
        <vt:i4>5</vt:i4>
      </vt:variant>
      <vt:variant>
        <vt:lpwstr/>
      </vt:variant>
      <vt:variant>
        <vt:lpwstr>_Toc118727071</vt:lpwstr>
      </vt:variant>
      <vt:variant>
        <vt:i4>1114171</vt:i4>
      </vt:variant>
      <vt:variant>
        <vt:i4>249</vt:i4>
      </vt:variant>
      <vt:variant>
        <vt:i4>0</vt:i4>
      </vt:variant>
      <vt:variant>
        <vt:i4>5</vt:i4>
      </vt:variant>
      <vt:variant>
        <vt:lpwstr/>
      </vt:variant>
      <vt:variant>
        <vt:lpwstr>_Toc118727070</vt:lpwstr>
      </vt:variant>
      <vt:variant>
        <vt:i4>1048635</vt:i4>
      </vt:variant>
      <vt:variant>
        <vt:i4>246</vt:i4>
      </vt:variant>
      <vt:variant>
        <vt:i4>0</vt:i4>
      </vt:variant>
      <vt:variant>
        <vt:i4>5</vt:i4>
      </vt:variant>
      <vt:variant>
        <vt:lpwstr/>
      </vt:variant>
      <vt:variant>
        <vt:lpwstr>_Toc118727069</vt:lpwstr>
      </vt:variant>
      <vt:variant>
        <vt:i4>1048635</vt:i4>
      </vt:variant>
      <vt:variant>
        <vt:i4>243</vt:i4>
      </vt:variant>
      <vt:variant>
        <vt:i4>0</vt:i4>
      </vt:variant>
      <vt:variant>
        <vt:i4>5</vt:i4>
      </vt:variant>
      <vt:variant>
        <vt:lpwstr/>
      </vt:variant>
      <vt:variant>
        <vt:lpwstr>_Toc118727068</vt:lpwstr>
      </vt:variant>
      <vt:variant>
        <vt:i4>1048635</vt:i4>
      </vt:variant>
      <vt:variant>
        <vt:i4>240</vt:i4>
      </vt:variant>
      <vt:variant>
        <vt:i4>0</vt:i4>
      </vt:variant>
      <vt:variant>
        <vt:i4>5</vt:i4>
      </vt:variant>
      <vt:variant>
        <vt:lpwstr/>
      </vt:variant>
      <vt:variant>
        <vt:lpwstr>_Toc118727067</vt:lpwstr>
      </vt:variant>
      <vt:variant>
        <vt:i4>1048635</vt:i4>
      </vt:variant>
      <vt:variant>
        <vt:i4>237</vt:i4>
      </vt:variant>
      <vt:variant>
        <vt:i4>0</vt:i4>
      </vt:variant>
      <vt:variant>
        <vt:i4>5</vt:i4>
      </vt:variant>
      <vt:variant>
        <vt:lpwstr/>
      </vt:variant>
      <vt:variant>
        <vt:lpwstr>_Toc118727066</vt:lpwstr>
      </vt:variant>
      <vt:variant>
        <vt:i4>1048635</vt:i4>
      </vt:variant>
      <vt:variant>
        <vt:i4>234</vt:i4>
      </vt:variant>
      <vt:variant>
        <vt:i4>0</vt:i4>
      </vt:variant>
      <vt:variant>
        <vt:i4>5</vt:i4>
      </vt:variant>
      <vt:variant>
        <vt:lpwstr/>
      </vt:variant>
      <vt:variant>
        <vt:lpwstr>_Toc118727065</vt:lpwstr>
      </vt:variant>
      <vt:variant>
        <vt:i4>1048635</vt:i4>
      </vt:variant>
      <vt:variant>
        <vt:i4>231</vt:i4>
      </vt:variant>
      <vt:variant>
        <vt:i4>0</vt:i4>
      </vt:variant>
      <vt:variant>
        <vt:i4>5</vt:i4>
      </vt:variant>
      <vt:variant>
        <vt:lpwstr/>
      </vt:variant>
      <vt:variant>
        <vt:lpwstr>_Toc118727064</vt:lpwstr>
      </vt:variant>
      <vt:variant>
        <vt:i4>1048635</vt:i4>
      </vt:variant>
      <vt:variant>
        <vt:i4>228</vt:i4>
      </vt:variant>
      <vt:variant>
        <vt:i4>0</vt:i4>
      </vt:variant>
      <vt:variant>
        <vt:i4>5</vt:i4>
      </vt:variant>
      <vt:variant>
        <vt:lpwstr/>
      </vt:variant>
      <vt:variant>
        <vt:lpwstr>_Toc118727063</vt:lpwstr>
      </vt:variant>
      <vt:variant>
        <vt:i4>1048635</vt:i4>
      </vt:variant>
      <vt:variant>
        <vt:i4>225</vt:i4>
      </vt:variant>
      <vt:variant>
        <vt:i4>0</vt:i4>
      </vt:variant>
      <vt:variant>
        <vt:i4>5</vt:i4>
      </vt:variant>
      <vt:variant>
        <vt:lpwstr/>
      </vt:variant>
      <vt:variant>
        <vt:lpwstr>_Toc118727062</vt:lpwstr>
      </vt:variant>
      <vt:variant>
        <vt:i4>1048635</vt:i4>
      </vt:variant>
      <vt:variant>
        <vt:i4>222</vt:i4>
      </vt:variant>
      <vt:variant>
        <vt:i4>0</vt:i4>
      </vt:variant>
      <vt:variant>
        <vt:i4>5</vt:i4>
      </vt:variant>
      <vt:variant>
        <vt:lpwstr/>
      </vt:variant>
      <vt:variant>
        <vt:lpwstr>_Toc118727061</vt:lpwstr>
      </vt:variant>
      <vt:variant>
        <vt:i4>1048635</vt:i4>
      </vt:variant>
      <vt:variant>
        <vt:i4>219</vt:i4>
      </vt:variant>
      <vt:variant>
        <vt:i4>0</vt:i4>
      </vt:variant>
      <vt:variant>
        <vt:i4>5</vt:i4>
      </vt:variant>
      <vt:variant>
        <vt:lpwstr/>
      </vt:variant>
      <vt:variant>
        <vt:lpwstr>_Toc118727060</vt:lpwstr>
      </vt:variant>
      <vt:variant>
        <vt:i4>1245243</vt:i4>
      </vt:variant>
      <vt:variant>
        <vt:i4>216</vt:i4>
      </vt:variant>
      <vt:variant>
        <vt:i4>0</vt:i4>
      </vt:variant>
      <vt:variant>
        <vt:i4>5</vt:i4>
      </vt:variant>
      <vt:variant>
        <vt:lpwstr/>
      </vt:variant>
      <vt:variant>
        <vt:lpwstr>_Toc118727059</vt:lpwstr>
      </vt:variant>
      <vt:variant>
        <vt:i4>1441850</vt:i4>
      </vt:variant>
      <vt:variant>
        <vt:i4>210</vt:i4>
      </vt:variant>
      <vt:variant>
        <vt:i4>0</vt:i4>
      </vt:variant>
      <vt:variant>
        <vt:i4>5</vt:i4>
      </vt:variant>
      <vt:variant>
        <vt:lpwstr/>
      </vt:variant>
      <vt:variant>
        <vt:lpwstr>_Toc118727108</vt:lpwstr>
      </vt:variant>
      <vt:variant>
        <vt:i4>1441850</vt:i4>
      </vt:variant>
      <vt:variant>
        <vt:i4>207</vt:i4>
      </vt:variant>
      <vt:variant>
        <vt:i4>0</vt:i4>
      </vt:variant>
      <vt:variant>
        <vt:i4>5</vt:i4>
      </vt:variant>
      <vt:variant>
        <vt:lpwstr/>
      </vt:variant>
      <vt:variant>
        <vt:lpwstr>_Toc118727107</vt:lpwstr>
      </vt:variant>
      <vt:variant>
        <vt:i4>1441850</vt:i4>
      </vt:variant>
      <vt:variant>
        <vt:i4>204</vt:i4>
      </vt:variant>
      <vt:variant>
        <vt:i4>0</vt:i4>
      </vt:variant>
      <vt:variant>
        <vt:i4>5</vt:i4>
      </vt:variant>
      <vt:variant>
        <vt:lpwstr/>
      </vt:variant>
      <vt:variant>
        <vt:lpwstr>_Toc118727106</vt:lpwstr>
      </vt:variant>
      <vt:variant>
        <vt:i4>1441850</vt:i4>
      </vt:variant>
      <vt:variant>
        <vt:i4>201</vt:i4>
      </vt:variant>
      <vt:variant>
        <vt:i4>0</vt:i4>
      </vt:variant>
      <vt:variant>
        <vt:i4>5</vt:i4>
      </vt:variant>
      <vt:variant>
        <vt:lpwstr/>
      </vt:variant>
      <vt:variant>
        <vt:lpwstr>_Toc118727105</vt:lpwstr>
      </vt:variant>
      <vt:variant>
        <vt:i4>1441850</vt:i4>
      </vt:variant>
      <vt:variant>
        <vt:i4>198</vt:i4>
      </vt:variant>
      <vt:variant>
        <vt:i4>0</vt:i4>
      </vt:variant>
      <vt:variant>
        <vt:i4>5</vt:i4>
      </vt:variant>
      <vt:variant>
        <vt:lpwstr/>
      </vt:variant>
      <vt:variant>
        <vt:lpwstr>_Toc118727104</vt:lpwstr>
      </vt:variant>
      <vt:variant>
        <vt:i4>1441850</vt:i4>
      </vt:variant>
      <vt:variant>
        <vt:i4>195</vt:i4>
      </vt:variant>
      <vt:variant>
        <vt:i4>0</vt:i4>
      </vt:variant>
      <vt:variant>
        <vt:i4>5</vt:i4>
      </vt:variant>
      <vt:variant>
        <vt:lpwstr/>
      </vt:variant>
      <vt:variant>
        <vt:lpwstr>_Toc118727103</vt:lpwstr>
      </vt:variant>
      <vt:variant>
        <vt:i4>1441850</vt:i4>
      </vt:variant>
      <vt:variant>
        <vt:i4>192</vt:i4>
      </vt:variant>
      <vt:variant>
        <vt:i4>0</vt:i4>
      </vt:variant>
      <vt:variant>
        <vt:i4>5</vt:i4>
      </vt:variant>
      <vt:variant>
        <vt:lpwstr/>
      </vt:variant>
      <vt:variant>
        <vt:lpwstr>_Toc118727102</vt:lpwstr>
      </vt:variant>
      <vt:variant>
        <vt:i4>1441850</vt:i4>
      </vt:variant>
      <vt:variant>
        <vt:i4>189</vt:i4>
      </vt:variant>
      <vt:variant>
        <vt:i4>0</vt:i4>
      </vt:variant>
      <vt:variant>
        <vt:i4>5</vt:i4>
      </vt:variant>
      <vt:variant>
        <vt:lpwstr/>
      </vt:variant>
      <vt:variant>
        <vt:lpwstr>_Toc118727101</vt:lpwstr>
      </vt:variant>
      <vt:variant>
        <vt:i4>1441850</vt:i4>
      </vt:variant>
      <vt:variant>
        <vt:i4>186</vt:i4>
      </vt:variant>
      <vt:variant>
        <vt:i4>0</vt:i4>
      </vt:variant>
      <vt:variant>
        <vt:i4>5</vt:i4>
      </vt:variant>
      <vt:variant>
        <vt:lpwstr/>
      </vt:variant>
      <vt:variant>
        <vt:lpwstr>_Toc118727100</vt:lpwstr>
      </vt:variant>
      <vt:variant>
        <vt:i4>2031675</vt:i4>
      </vt:variant>
      <vt:variant>
        <vt:i4>183</vt:i4>
      </vt:variant>
      <vt:variant>
        <vt:i4>0</vt:i4>
      </vt:variant>
      <vt:variant>
        <vt:i4>5</vt:i4>
      </vt:variant>
      <vt:variant>
        <vt:lpwstr/>
      </vt:variant>
      <vt:variant>
        <vt:lpwstr>_Toc118727099</vt:lpwstr>
      </vt:variant>
      <vt:variant>
        <vt:i4>2031675</vt:i4>
      </vt:variant>
      <vt:variant>
        <vt:i4>180</vt:i4>
      </vt:variant>
      <vt:variant>
        <vt:i4>0</vt:i4>
      </vt:variant>
      <vt:variant>
        <vt:i4>5</vt:i4>
      </vt:variant>
      <vt:variant>
        <vt:lpwstr/>
      </vt:variant>
      <vt:variant>
        <vt:lpwstr>_Toc118727098</vt:lpwstr>
      </vt:variant>
      <vt:variant>
        <vt:i4>2031675</vt:i4>
      </vt:variant>
      <vt:variant>
        <vt:i4>177</vt:i4>
      </vt:variant>
      <vt:variant>
        <vt:i4>0</vt:i4>
      </vt:variant>
      <vt:variant>
        <vt:i4>5</vt:i4>
      </vt:variant>
      <vt:variant>
        <vt:lpwstr/>
      </vt:variant>
      <vt:variant>
        <vt:lpwstr>_Toc118727097</vt:lpwstr>
      </vt:variant>
      <vt:variant>
        <vt:i4>2031675</vt:i4>
      </vt:variant>
      <vt:variant>
        <vt:i4>174</vt:i4>
      </vt:variant>
      <vt:variant>
        <vt:i4>0</vt:i4>
      </vt:variant>
      <vt:variant>
        <vt:i4>5</vt:i4>
      </vt:variant>
      <vt:variant>
        <vt:lpwstr/>
      </vt:variant>
      <vt:variant>
        <vt:lpwstr>_Toc118727096</vt:lpwstr>
      </vt:variant>
      <vt:variant>
        <vt:i4>2031675</vt:i4>
      </vt:variant>
      <vt:variant>
        <vt:i4>171</vt:i4>
      </vt:variant>
      <vt:variant>
        <vt:i4>0</vt:i4>
      </vt:variant>
      <vt:variant>
        <vt:i4>5</vt:i4>
      </vt:variant>
      <vt:variant>
        <vt:lpwstr/>
      </vt:variant>
      <vt:variant>
        <vt:lpwstr>_Toc118727095</vt:lpwstr>
      </vt:variant>
      <vt:variant>
        <vt:i4>2031675</vt:i4>
      </vt:variant>
      <vt:variant>
        <vt:i4>168</vt:i4>
      </vt:variant>
      <vt:variant>
        <vt:i4>0</vt:i4>
      </vt:variant>
      <vt:variant>
        <vt:i4>5</vt:i4>
      </vt:variant>
      <vt:variant>
        <vt:lpwstr/>
      </vt:variant>
      <vt:variant>
        <vt:lpwstr>_Toc118727094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2023-01-25T07:18:00Z</dcterms:created>
  <dcterms:modified xsi:type="dcterms:W3CDTF">2023-02-17T15:42:00Z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0x0101008AB1D31256771D4AB3EA842ABC2E3F11</vt:lpwstr>
  </property>
  <property fmtid="{D5CDD505-2E9C-101B-9397-08002B2CF9AE}" pid="3" name="MediaServiceImageTags">
    <vt:lpwstr/>
  </property>
</Properties>
</file>